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57743" w14:textId="77777777" w:rsidR="009B2420" w:rsidRDefault="006B2699" w:rsidP="006B2699">
      <w:pPr>
        <w:widowControl/>
        <w:shd w:val="clear" w:color="auto" w:fill="FFFFFF"/>
        <w:snapToGrid w:val="0"/>
        <w:rPr>
          <w:rFonts w:ascii="標楷體" w:eastAsia="標楷體" w:hAnsi="標楷體" w:cs="標楷體"/>
          <w:color w:val="000000"/>
          <w:spacing w:val="23"/>
          <w:kern w:val="0"/>
          <w:sz w:val="20"/>
          <w:szCs w:val="20"/>
        </w:rPr>
      </w:pPr>
      <w:r w:rsidRPr="006B2699">
        <w:rPr>
          <w:rFonts w:ascii="標楷體" w:eastAsia="標楷體" w:hAnsi="標楷體" w:cs="標楷體"/>
          <w:b/>
          <w:bCs/>
          <w:color w:val="000000"/>
          <w:spacing w:val="23"/>
          <w:kern w:val="0"/>
          <w:sz w:val="20"/>
          <w:szCs w:val="20"/>
        </w:rPr>
        <w:t>一、信度分析</w:t>
      </w:r>
      <w:r w:rsidRPr="006B2699">
        <w:rPr>
          <w:rFonts w:ascii="標楷體" w:eastAsia="標楷體" w:hAnsi="標楷體" w:cs="標楷體"/>
          <w:color w:val="000000"/>
          <w:spacing w:val="23"/>
          <w:kern w:val="0"/>
          <w:sz w:val="20"/>
          <w:szCs w:val="20"/>
        </w:rPr>
        <w:t>    </w:t>
      </w:r>
    </w:p>
    <w:p w14:paraId="7E218B60" w14:textId="0AF303CD" w:rsidR="006B2699" w:rsidRPr="006B2699" w:rsidRDefault="006B2699" w:rsidP="006B2699">
      <w:pPr>
        <w:widowControl/>
        <w:shd w:val="clear" w:color="auto" w:fill="FFFFFF"/>
        <w:snapToGrid w:val="0"/>
        <w:rPr>
          <w:rFonts w:ascii="標楷體" w:eastAsia="標楷體" w:hAnsi="標楷體" w:cs="標楷體"/>
          <w:color w:val="3E3E3E"/>
          <w:spacing w:val="23"/>
          <w:kern w:val="0"/>
          <w:sz w:val="20"/>
          <w:szCs w:val="20"/>
        </w:rPr>
      </w:pPr>
      <w:r w:rsidRPr="006B2699">
        <w:rPr>
          <w:rFonts w:ascii="標楷體" w:eastAsia="標楷體" w:hAnsi="標楷體" w:cs="標楷體"/>
          <w:b/>
          <w:bCs/>
          <w:color w:val="000000"/>
          <w:spacing w:val="23"/>
          <w:kern w:val="0"/>
          <w:sz w:val="20"/>
          <w:szCs w:val="20"/>
          <w:highlight w:val="yellow"/>
        </w:rPr>
        <w:t>信度</w:t>
      </w:r>
      <w:r w:rsidRPr="006B2699">
        <w:rPr>
          <w:rFonts w:ascii="標楷體" w:eastAsia="標楷體" w:hAnsi="標楷體" w:cs="標楷體"/>
          <w:color w:val="000000"/>
          <w:spacing w:val="23"/>
          <w:kern w:val="0"/>
          <w:sz w:val="20"/>
          <w:szCs w:val="20"/>
        </w:rPr>
        <w:t>（Reliability）即可靠性，它是指采用同樣的方法對同一對象重複測量時所得結果的一致性程度。信度指標多以相關係數表示，大致可分為三類︰穩定系數（跨時間的一致性），等值系數（跨形式的一致性）和內在一致性系數（跨項目的一致性）。信度分析的方法主要有以下四種︰</w:t>
      </w:r>
      <w:r w:rsidRPr="006B2699">
        <w:rPr>
          <w:rFonts w:ascii="標楷體" w:eastAsia="標楷體" w:hAnsi="標楷體" w:cs="標楷體"/>
          <w:b/>
          <w:bCs/>
          <w:color w:val="000000"/>
          <w:spacing w:val="23"/>
          <w:kern w:val="0"/>
          <w:sz w:val="20"/>
          <w:szCs w:val="20"/>
        </w:rPr>
        <w:t>   </w:t>
      </w:r>
    </w:p>
    <w:p w14:paraId="6E49A57A" w14:textId="77777777" w:rsidR="009B2420" w:rsidRDefault="006B2699" w:rsidP="006B2699">
      <w:pPr>
        <w:widowControl/>
        <w:shd w:val="clear" w:color="auto" w:fill="FFFFFF"/>
        <w:snapToGrid w:val="0"/>
        <w:rPr>
          <w:rFonts w:ascii="標楷體" w:eastAsia="標楷體" w:hAnsi="標楷體" w:cs="標楷體"/>
          <w:color w:val="000000"/>
          <w:spacing w:val="23"/>
          <w:kern w:val="0"/>
          <w:sz w:val="20"/>
          <w:szCs w:val="20"/>
        </w:rPr>
      </w:pPr>
      <w:r w:rsidRPr="006B2699">
        <w:rPr>
          <w:rFonts w:ascii="標楷體" w:eastAsia="標楷體" w:hAnsi="標楷體" w:cs="標楷體"/>
          <w:b/>
          <w:bCs/>
          <w:color w:val="000000"/>
          <w:spacing w:val="23"/>
          <w:kern w:val="0"/>
          <w:sz w:val="20"/>
          <w:szCs w:val="20"/>
        </w:rPr>
        <w:t>1、重測信度法</w:t>
      </w:r>
      <w:r w:rsidRPr="006B2699">
        <w:rPr>
          <w:rFonts w:ascii="標楷體" w:eastAsia="標楷體" w:hAnsi="標楷體" w:cs="標楷體"/>
          <w:color w:val="000000"/>
          <w:spacing w:val="23"/>
          <w:kern w:val="0"/>
          <w:sz w:val="20"/>
          <w:szCs w:val="20"/>
        </w:rPr>
        <w:t>    </w:t>
      </w:r>
    </w:p>
    <w:p w14:paraId="67ECE4B3" w14:textId="659DB585" w:rsidR="006B2699" w:rsidRPr="006B2699" w:rsidRDefault="006B2699" w:rsidP="006B2699">
      <w:pPr>
        <w:widowControl/>
        <w:shd w:val="clear" w:color="auto" w:fill="FFFFFF"/>
        <w:snapToGrid w:val="0"/>
        <w:rPr>
          <w:rFonts w:ascii="標楷體" w:eastAsia="標楷體" w:hAnsi="標楷體" w:cs="標楷體"/>
          <w:color w:val="3E3E3E"/>
          <w:spacing w:val="23"/>
          <w:kern w:val="0"/>
          <w:sz w:val="20"/>
          <w:szCs w:val="20"/>
        </w:rPr>
      </w:pPr>
      <w:r w:rsidRPr="006B2699">
        <w:rPr>
          <w:rFonts w:ascii="標楷體" w:eastAsia="標楷體" w:hAnsi="標楷體" w:cs="標楷體"/>
          <w:color w:val="000000"/>
          <w:spacing w:val="23"/>
          <w:kern w:val="0"/>
          <w:sz w:val="20"/>
          <w:szCs w:val="20"/>
        </w:rPr>
        <w:t>這一方法是用同樣的問卷對同一組被調查者間隔一定時間重複施測，計算兩次施測結果的相關系數。顯然，重測信度屬于穩定系數。重測信度法特別適用于事實式問卷，如性別、出生年月等在兩次施測中不應有任何差異，大多數被調查者的興趣、愛好、習慣等在短時間內也不會有十分明顯的變化。如果沒有突發事件導致被調查者的態度、意見突變，這種方法也適用于態度、意見式問卷。由於重測信度法需要對同一樣本試測兩次，被調查者容易受到各種事件、活動和他人的影響，而且間隔時間長短也有一定限制，因此在實施中有一定困難。</w:t>
      </w:r>
      <w:r w:rsidRPr="006B2699">
        <w:rPr>
          <w:rFonts w:ascii="標楷體" w:eastAsia="標楷體" w:hAnsi="標楷體" w:cs="標楷體"/>
          <w:b/>
          <w:bCs/>
          <w:color w:val="000000"/>
          <w:spacing w:val="23"/>
          <w:kern w:val="0"/>
          <w:sz w:val="20"/>
          <w:szCs w:val="20"/>
        </w:rPr>
        <w:t>   </w:t>
      </w:r>
    </w:p>
    <w:p w14:paraId="75C4DCFE" w14:textId="77777777" w:rsidR="009B2420" w:rsidRDefault="006B2699" w:rsidP="006B2699">
      <w:pPr>
        <w:widowControl/>
        <w:shd w:val="clear" w:color="auto" w:fill="FFFFFF"/>
        <w:snapToGrid w:val="0"/>
        <w:rPr>
          <w:rFonts w:ascii="標楷體" w:eastAsia="標楷體" w:hAnsi="標楷體" w:cs="標楷體"/>
          <w:color w:val="000000"/>
          <w:spacing w:val="23"/>
          <w:kern w:val="0"/>
          <w:sz w:val="20"/>
          <w:szCs w:val="20"/>
        </w:rPr>
      </w:pPr>
      <w:r w:rsidRPr="006B2699">
        <w:rPr>
          <w:rFonts w:ascii="標楷體" w:eastAsia="標楷體" w:hAnsi="標楷體" w:cs="標楷體"/>
          <w:b/>
          <w:bCs/>
          <w:color w:val="000000"/>
          <w:spacing w:val="23"/>
          <w:kern w:val="0"/>
          <w:sz w:val="20"/>
          <w:szCs w:val="20"/>
        </w:rPr>
        <w:t>2、複本信度法</w:t>
      </w:r>
      <w:r w:rsidRPr="006B2699">
        <w:rPr>
          <w:rFonts w:ascii="標楷體" w:eastAsia="標楷體" w:hAnsi="標楷體" w:cs="標楷體"/>
          <w:color w:val="000000"/>
          <w:spacing w:val="23"/>
          <w:kern w:val="0"/>
          <w:sz w:val="20"/>
          <w:szCs w:val="20"/>
        </w:rPr>
        <w:t>    </w:t>
      </w:r>
    </w:p>
    <w:p w14:paraId="060E8691" w14:textId="54C0713C" w:rsidR="006B2699" w:rsidRPr="006B2699" w:rsidRDefault="006B2699" w:rsidP="006B2699">
      <w:pPr>
        <w:widowControl/>
        <w:shd w:val="clear" w:color="auto" w:fill="FFFFFF"/>
        <w:snapToGrid w:val="0"/>
        <w:rPr>
          <w:rFonts w:ascii="標楷體" w:eastAsia="標楷體" w:hAnsi="標楷體" w:cs="標楷體"/>
          <w:color w:val="3E3E3E"/>
          <w:spacing w:val="23"/>
          <w:kern w:val="0"/>
          <w:sz w:val="20"/>
          <w:szCs w:val="20"/>
        </w:rPr>
      </w:pPr>
      <w:r w:rsidRPr="006B2699">
        <w:rPr>
          <w:rFonts w:ascii="標楷體" w:eastAsia="標楷體" w:hAnsi="標楷體" w:cs="標楷體"/>
          <w:color w:val="000000"/>
          <w:spacing w:val="23"/>
          <w:kern w:val="0"/>
          <w:sz w:val="20"/>
          <w:szCs w:val="20"/>
        </w:rPr>
        <w:t>複本信度法是讓同一組被調查者一次填答兩份問卷複本，計算兩個複本的相關系數。複本信度屬于等值系數。複本信度法要求兩個複本除表述模式不同外，在內容、格式、難度和對應題項的提問方向等方面要完全一致，而在實際調查中，很難使調查問卷達到這種要求，因此採用這種方法者較少。</w:t>
      </w:r>
      <w:r w:rsidRPr="006B2699">
        <w:rPr>
          <w:rFonts w:ascii="標楷體" w:eastAsia="標楷體" w:hAnsi="標楷體" w:cs="標楷體"/>
          <w:b/>
          <w:bCs/>
          <w:color w:val="000000"/>
          <w:spacing w:val="23"/>
          <w:kern w:val="0"/>
          <w:sz w:val="20"/>
          <w:szCs w:val="20"/>
        </w:rPr>
        <w:t>   </w:t>
      </w:r>
    </w:p>
    <w:p w14:paraId="7EC73701" w14:textId="77777777" w:rsidR="009B2420" w:rsidRDefault="006B2699" w:rsidP="006B2699">
      <w:pPr>
        <w:widowControl/>
        <w:shd w:val="clear" w:color="auto" w:fill="FFFFFF"/>
        <w:snapToGrid w:val="0"/>
        <w:rPr>
          <w:rFonts w:ascii="標楷體" w:eastAsia="標楷體" w:hAnsi="標楷體" w:cs="標楷體"/>
          <w:color w:val="000000"/>
          <w:spacing w:val="23"/>
          <w:kern w:val="0"/>
          <w:sz w:val="20"/>
          <w:szCs w:val="20"/>
        </w:rPr>
      </w:pPr>
      <w:r w:rsidRPr="006B2699">
        <w:rPr>
          <w:rFonts w:ascii="標楷體" w:eastAsia="標楷體" w:hAnsi="標楷體" w:cs="標楷體"/>
          <w:b/>
          <w:bCs/>
          <w:color w:val="000000"/>
          <w:spacing w:val="23"/>
          <w:kern w:val="0"/>
          <w:sz w:val="20"/>
          <w:szCs w:val="20"/>
        </w:rPr>
        <w:t>3、折半信度法</w:t>
      </w:r>
      <w:r w:rsidRPr="006B2699">
        <w:rPr>
          <w:rFonts w:ascii="標楷體" w:eastAsia="標楷體" w:hAnsi="標楷體" w:cs="標楷體"/>
          <w:color w:val="000000"/>
          <w:spacing w:val="23"/>
          <w:kern w:val="0"/>
          <w:sz w:val="20"/>
          <w:szCs w:val="20"/>
        </w:rPr>
        <w:t>    </w:t>
      </w:r>
    </w:p>
    <w:p w14:paraId="764D0C7D" w14:textId="3B96161A" w:rsidR="006B2699" w:rsidRPr="006B2699" w:rsidRDefault="006B2699" w:rsidP="006B2699">
      <w:pPr>
        <w:widowControl/>
        <w:shd w:val="clear" w:color="auto" w:fill="FFFFFF"/>
        <w:snapToGrid w:val="0"/>
        <w:rPr>
          <w:rFonts w:ascii="標楷體" w:eastAsia="標楷體" w:hAnsi="標楷體" w:cs="標楷體"/>
          <w:color w:val="3E3E3E"/>
          <w:spacing w:val="23"/>
          <w:kern w:val="0"/>
          <w:sz w:val="20"/>
          <w:szCs w:val="20"/>
        </w:rPr>
      </w:pPr>
      <w:r w:rsidRPr="006B2699">
        <w:rPr>
          <w:rFonts w:ascii="標楷體" w:eastAsia="標楷體" w:hAnsi="標楷體" w:cs="標楷體"/>
          <w:color w:val="000000"/>
          <w:spacing w:val="23"/>
          <w:kern w:val="0"/>
          <w:sz w:val="20"/>
          <w:szCs w:val="20"/>
        </w:rPr>
        <w:t>折半信度法是將調查項目分為兩半，計算兩半得分的相關系數，進而估計整個量表的信度。折半信度屬于內在一致性系數，測量的是兩半題項得分間的一致性。這種方法一般不適用于事實式問卷（如年齡與性別無法相比），常用于態度、意見式問卷的信度分析。在問卷調查中，態度測量最常見的形式是5級李克特（Likert）量表。進行折半信度分析時，如果量表中含有反意題項，應先將反意題項的得分作逆向處理，以保證各題項得分方向的一致性，然後將全部題項按奇偶或前后分為儘可能相等的兩半，計算二者的相關係數（</w:t>
      </w:r>
      <w:proofErr w:type="spellStart"/>
      <w:r w:rsidRPr="006B2699">
        <w:rPr>
          <w:rFonts w:ascii="標楷體" w:eastAsia="標楷體" w:hAnsi="標楷體" w:cs="標楷體"/>
          <w:color w:val="000000"/>
          <w:spacing w:val="23"/>
          <w:kern w:val="0"/>
          <w:sz w:val="20"/>
          <w:szCs w:val="20"/>
        </w:rPr>
        <w:t>rhh</w:t>
      </w:r>
      <w:proofErr w:type="spellEnd"/>
      <w:r w:rsidRPr="006B2699">
        <w:rPr>
          <w:rFonts w:ascii="標楷體" w:eastAsia="標楷體" w:hAnsi="標楷體" w:cs="標楷體"/>
          <w:color w:val="000000"/>
          <w:spacing w:val="23"/>
          <w:kern w:val="0"/>
          <w:sz w:val="20"/>
          <w:szCs w:val="20"/>
        </w:rPr>
        <w:t>，即半個量表的信度系數），最後用斯皮爾曼-布朗（Spearman-Brown）公式︰求出整個量表的信度系數（</w:t>
      </w:r>
      <w:proofErr w:type="spellStart"/>
      <w:r w:rsidRPr="006B2699">
        <w:rPr>
          <w:rFonts w:ascii="標楷體" w:eastAsia="標楷體" w:hAnsi="標楷體" w:cs="標楷體"/>
          <w:color w:val="000000"/>
          <w:spacing w:val="23"/>
          <w:kern w:val="0"/>
          <w:sz w:val="20"/>
          <w:szCs w:val="20"/>
        </w:rPr>
        <w:t>r</w:t>
      </w:r>
      <w:r w:rsidRPr="006B2699">
        <w:rPr>
          <w:rFonts w:ascii="標楷體" w:eastAsia="標楷體" w:hAnsi="標楷體" w:cs="標楷體"/>
          <w:color w:val="000000"/>
          <w:spacing w:val="23"/>
          <w:kern w:val="0"/>
          <w:sz w:val="20"/>
          <w:szCs w:val="20"/>
          <w:vertAlign w:val="subscript"/>
        </w:rPr>
        <w:t>u</w:t>
      </w:r>
      <w:proofErr w:type="spellEnd"/>
      <w:r w:rsidRPr="006B2699">
        <w:rPr>
          <w:rFonts w:ascii="標楷體" w:eastAsia="標楷體" w:hAnsi="標楷體" w:cs="標楷體"/>
          <w:color w:val="000000"/>
          <w:spacing w:val="23"/>
          <w:kern w:val="0"/>
          <w:sz w:val="20"/>
          <w:szCs w:val="20"/>
        </w:rPr>
        <w:t>）。</w:t>
      </w:r>
      <w:r w:rsidRPr="006B2699">
        <w:rPr>
          <w:rFonts w:ascii="標楷體" w:eastAsia="標楷體" w:hAnsi="標楷體" w:cs="標楷體"/>
          <w:b/>
          <w:bCs/>
          <w:color w:val="000000"/>
          <w:spacing w:val="23"/>
          <w:kern w:val="0"/>
          <w:sz w:val="20"/>
          <w:szCs w:val="20"/>
        </w:rPr>
        <w:t>   </w:t>
      </w:r>
    </w:p>
    <w:p w14:paraId="6D9C6B30" w14:textId="77777777" w:rsidR="009B2420" w:rsidRDefault="006B2699" w:rsidP="006B2699">
      <w:pPr>
        <w:widowControl/>
        <w:shd w:val="clear" w:color="auto" w:fill="FFFFFF"/>
        <w:snapToGrid w:val="0"/>
        <w:rPr>
          <w:rFonts w:ascii="標楷體" w:eastAsia="標楷體" w:hAnsi="標楷體" w:cs="標楷體"/>
          <w:color w:val="000000"/>
          <w:spacing w:val="23"/>
          <w:kern w:val="0"/>
          <w:sz w:val="20"/>
          <w:szCs w:val="20"/>
        </w:rPr>
      </w:pPr>
      <w:r w:rsidRPr="006B2699">
        <w:rPr>
          <w:rFonts w:ascii="標楷體" w:eastAsia="標楷體" w:hAnsi="標楷體" w:cs="標楷體"/>
          <w:b/>
          <w:bCs/>
          <w:color w:val="000000"/>
          <w:spacing w:val="23"/>
          <w:kern w:val="0"/>
          <w:sz w:val="20"/>
          <w:szCs w:val="20"/>
        </w:rPr>
        <w:t>4、α信度系數法</w:t>
      </w:r>
      <w:r w:rsidRPr="006B2699">
        <w:rPr>
          <w:rFonts w:ascii="標楷體" w:eastAsia="標楷體" w:hAnsi="標楷體" w:cs="標楷體"/>
          <w:color w:val="000000"/>
          <w:spacing w:val="23"/>
          <w:kern w:val="0"/>
          <w:sz w:val="20"/>
          <w:szCs w:val="20"/>
        </w:rPr>
        <w:t xml:space="preserve">    </w:t>
      </w:r>
    </w:p>
    <w:p w14:paraId="04E510DF" w14:textId="07DABD4A" w:rsidR="006B2699" w:rsidRPr="006B2699" w:rsidRDefault="006B2699" w:rsidP="006B2699">
      <w:pPr>
        <w:widowControl/>
        <w:shd w:val="clear" w:color="auto" w:fill="FFFFFF"/>
        <w:snapToGrid w:val="0"/>
        <w:rPr>
          <w:rFonts w:ascii="標楷體" w:eastAsia="標楷體" w:hAnsi="標楷體" w:cs="標楷體"/>
          <w:color w:val="3E3E3E"/>
          <w:spacing w:val="23"/>
          <w:kern w:val="0"/>
          <w:sz w:val="20"/>
          <w:szCs w:val="20"/>
        </w:rPr>
      </w:pPr>
      <w:r w:rsidRPr="006B2699">
        <w:rPr>
          <w:rFonts w:ascii="標楷體" w:eastAsia="標楷體" w:hAnsi="標楷體" w:cs="標楷體"/>
          <w:color w:val="000000"/>
          <w:spacing w:val="23"/>
          <w:kern w:val="0"/>
          <w:sz w:val="20"/>
          <w:szCs w:val="20"/>
        </w:rPr>
        <w:t>Cronbach α信度系數是目前最常用的信度系數，α系數評價的是量表中各題項得分間的一致性，屬于內在一致性系數。這種方法適用于態度、意見式問卷（量表）的信度分析。</w:t>
      </w:r>
    </w:p>
    <w:p w14:paraId="62C4FF6B" w14:textId="2CF83C17" w:rsidR="006B2699" w:rsidRDefault="006B2699" w:rsidP="006B2699">
      <w:pPr>
        <w:widowControl/>
        <w:shd w:val="clear" w:color="auto" w:fill="FFFFFF"/>
        <w:snapToGrid w:val="0"/>
        <w:rPr>
          <w:rFonts w:ascii="標楷體" w:eastAsia="標楷體" w:hAnsi="標楷體" w:cs="標楷體"/>
          <w:color w:val="3E3E3E"/>
          <w:spacing w:val="23"/>
          <w:kern w:val="0"/>
          <w:sz w:val="20"/>
          <w:szCs w:val="20"/>
        </w:rPr>
      </w:pPr>
      <w:hyperlink r:id="rId4" w:anchor="row2" w:tgtFrame="_blank" w:history="1">
        <w:r w:rsidRPr="006B2699">
          <w:rPr>
            <w:rFonts w:ascii="標楷體" w:eastAsia="標楷體" w:hAnsi="標楷體" w:cs="標楷體"/>
            <w:color w:val="000000"/>
            <w:spacing w:val="23"/>
            <w:kern w:val="0"/>
            <w:sz w:val="20"/>
            <w:szCs w:val="20"/>
            <w:u w:val="single"/>
          </w:rPr>
          <w:t> (給我最棒的統計課)</w:t>
        </w:r>
      </w:hyperlink>
    </w:p>
    <w:p w14:paraId="58F54CB0" w14:textId="77777777" w:rsidR="009B2420" w:rsidRDefault="009B2420" w:rsidP="006B2699">
      <w:pPr>
        <w:widowControl/>
        <w:shd w:val="clear" w:color="auto" w:fill="FFFFFF"/>
        <w:snapToGrid w:val="0"/>
        <w:rPr>
          <w:rFonts w:ascii="標楷體" w:eastAsia="標楷體" w:hAnsi="標楷體" w:cs="標楷體"/>
          <w:color w:val="000000"/>
          <w:kern w:val="0"/>
          <w:sz w:val="20"/>
          <w:szCs w:val="20"/>
          <w:shd w:val="clear" w:color="auto" w:fill="F5F5F5"/>
        </w:rPr>
      </w:pPr>
    </w:p>
    <w:p w14:paraId="4A261B31" w14:textId="6FE901C1" w:rsidR="009B2420" w:rsidRDefault="009B2420" w:rsidP="006B2699">
      <w:pPr>
        <w:widowControl/>
        <w:shd w:val="clear" w:color="auto" w:fill="FFFFFF"/>
        <w:snapToGrid w:val="0"/>
        <w:rPr>
          <w:rFonts w:ascii="標楷體" w:eastAsia="標楷體" w:hAnsi="標楷體" w:cs="標楷體"/>
          <w:color w:val="3E3E3E"/>
          <w:spacing w:val="23"/>
          <w:kern w:val="0"/>
          <w:sz w:val="20"/>
          <w:szCs w:val="20"/>
        </w:rPr>
      </w:pPr>
      <w:r w:rsidRPr="006B2699">
        <w:rPr>
          <w:rFonts w:ascii="標楷體" w:eastAsia="標楷體" w:hAnsi="標楷體" w:cs="標楷體" w:hint="eastAsia"/>
          <w:color w:val="000000"/>
          <w:kern w:val="0"/>
          <w:sz w:val="20"/>
          <w:szCs w:val="20"/>
          <w:shd w:val="clear" w:color="auto" w:fill="F5F5F5"/>
        </w:rPr>
        <w:t>※影響信度的因素：</w:t>
      </w:r>
      <w:r w:rsidRPr="006B2699">
        <w:rPr>
          <w:rFonts w:ascii="標楷體" w:eastAsia="標楷體" w:hAnsi="標楷體" w:cs="標楷體" w:hint="eastAsia"/>
          <w:color w:val="000000"/>
          <w:kern w:val="0"/>
          <w:sz w:val="20"/>
          <w:szCs w:val="20"/>
        </w:rPr>
        <w:br/>
      </w:r>
      <w:r w:rsidRPr="006B2699">
        <w:rPr>
          <w:rFonts w:ascii="標楷體" w:eastAsia="標楷體" w:hAnsi="標楷體" w:cs="標楷體" w:hint="eastAsia"/>
          <w:color w:val="000000"/>
          <w:kern w:val="0"/>
          <w:sz w:val="20"/>
          <w:szCs w:val="20"/>
          <w:shd w:val="clear" w:color="auto" w:fill="F5F5F5"/>
        </w:rPr>
        <w:t>1.試題題數（測驗的長度）</w:t>
      </w:r>
      <w:r w:rsidRPr="006B2699">
        <w:rPr>
          <w:rFonts w:ascii="標楷體" w:eastAsia="標楷體" w:hAnsi="標楷體" w:cs="標楷體" w:hint="eastAsia"/>
          <w:color w:val="000000"/>
          <w:kern w:val="0"/>
          <w:sz w:val="20"/>
          <w:szCs w:val="20"/>
        </w:rPr>
        <w:br/>
      </w:r>
      <w:r w:rsidRPr="006B2699">
        <w:rPr>
          <w:rFonts w:ascii="標楷體" w:eastAsia="標楷體" w:hAnsi="標楷體" w:cs="標楷體" w:hint="eastAsia"/>
          <w:color w:val="000000"/>
          <w:kern w:val="0"/>
          <w:sz w:val="20"/>
          <w:szCs w:val="20"/>
          <w:shd w:val="clear" w:color="auto" w:fill="F5F5F5"/>
        </w:rPr>
        <w:t>2.樣本能力分配（團體分數的變異程度）</w:t>
      </w:r>
      <w:r w:rsidRPr="006B2699">
        <w:rPr>
          <w:rFonts w:ascii="標楷體" w:eastAsia="標楷體" w:hAnsi="標楷體" w:cs="標楷體" w:hint="eastAsia"/>
          <w:color w:val="000000"/>
          <w:kern w:val="0"/>
          <w:sz w:val="20"/>
          <w:szCs w:val="20"/>
        </w:rPr>
        <w:br/>
      </w:r>
      <w:r w:rsidRPr="006B2699">
        <w:rPr>
          <w:rFonts w:ascii="標楷體" w:eastAsia="標楷體" w:hAnsi="標楷體" w:cs="標楷體" w:hint="eastAsia"/>
          <w:color w:val="000000"/>
          <w:kern w:val="0"/>
          <w:sz w:val="20"/>
          <w:szCs w:val="20"/>
          <w:shd w:val="clear" w:color="auto" w:fill="F5F5F5"/>
        </w:rPr>
        <w:t>3.試題難易程度</w:t>
      </w:r>
      <w:r w:rsidRPr="006B2699">
        <w:rPr>
          <w:rFonts w:ascii="標楷體" w:eastAsia="標楷體" w:hAnsi="標楷體" w:cs="標楷體" w:hint="eastAsia"/>
          <w:color w:val="000000"/>
          <w:kern w:val="0"/>
          <w:sz w:val="20"/>
          <w:szCs w:val="20"/>
        </w:rPr>
        <w:br/>
      </w:r>
      <w:r w:rsidRPr="006B2699">
        <w:rPr>
          <w:rFonts w:ascii="標楷體" w:eastAsia="標楷體" w:hAnsi="標楷體" w:cs="標楷體" w:hint="eastAsia"/>
          <w:color w:val="000000"/>
          <w:kern w:val="0"/>
          <w:sz w:val="20"/>
          <w:szCs w:val="20"/>
          <w:shd w:val="clear" w:color="auto" w:fill="F5F5F5"/>
        </w:rPr>
        <w:t>4.測驗評分的客觀性</w:t>
      </w:r>
      <w:r w:rsidRPr="006B2699">
        <w:rPr>
          <w:rFonts w:ascii="標楷體" w:eastAsia="標楷體" w:hAnsi="標楷體" w:cs="標楷體" w:hint="eastAsia"/>
          <w:color w:val="000000"/>
          <w:kern w:val="0"/>
          <w:sz w:val="20"/>
          <w:szCs w:val="20"/>
        </w:rPr>
        <w:br/>
      </w:r>
      <w:r w:rsidRPr="006B2699">
        <w:rPr>
          <w:rFonts w:ascii="標楷體" w:eastAsia="標楷體" w:hAnsi="標楷體" w:cs="標楷體" w:hint="eastAsia"/>
          <w:color w:val="000000"/>
          <w:kern w:val="0"/>
          <w:sz w:val="20"/>
          <w:szCs w:val="20"/>
          <w:shd w:val="clear" w:color="auto" w:fill="F5F5F5"/>
        </w:rPr>
        <w:t>5.信度的估計方法</w:t>
      </w:r>
    </w:p>
    <w:p w14:paraId="2373D32F" w14:textId="77777777" w:rsidR="009B2420" w:rsidRPr="009B2420" w:rsidRDefault="009B2420" w:rsidP="009B2420">
      <w:pPr>
        <w:widowControl/>
        <w:rPr>
          <w:rFonts w:ascii="新細明體" w:eastAsia="新細明體" w:hAnsi="新細明體" w:cs="新細明體"/>
          <w:kern w:val="0"/>
        </w:rPr>
      </w:pPr>
    </w:p>
    <w:p w14:paraId="507EF61A" w14:textId="660CC04E" w:rsidR="009B2420" w:rsidRPr="006B2699" w:rsidRDefault="009B2420" w:rsidP="006B2699">
      <w:pPr>
        <w:widowControl/>
        <w:shd w:val="clear" w:color="auto" w:fill="FFFFFF"/>
        <w:snapToGrid w:val="0"/>
        <w:rPr>
          <w:rFonts w:ascii="標楷體" w:eastAsia="標楷體" w:hAnsi="標楷體" w:cs="標楷體"/>
          <w:color w:val="3E3E3E"/>
          <w:spacing w:val="23"/>
          <w:kern w:val="0"/>
          <w:sz w:val="20"/>
          <w:szCs w:val="20"/>
        </w:rPr>
      </w:pPr>
      <w:r w:rsidRPr="009B2420">
        <w:rPr>
          <w:rFonts w:ascii="標楷體" w:eastAsia="標楷體" w:hAnsi="標楷體" w:cs="標楷體"/>
          <w:color w:val="3E3E3E"/>
          <w:spacing w:val="23"/>
          <w:kern w:val="0"/>
          <w:sz w:val="20"/>
          <w:szCs w:val="20"/>
        </w:rPr>
        <w:lastRenderedPageBreak/>
        <w:drawing>
          <wp:inline distT="0" distB="0" distL="0" distR="0" wp14:anchorId="123A6A8C" wp14:editId="394E67D8">
            <wp:extent cx="6642100" cy="3933190"/>
            <wp:effectExtent l="0" t="0" r="0"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2100" cy="3933190"/>
                    </a:xfrm>
                    <a:prstGeom prst="rect">
                      <a:avLst/>
                    </a:prstGeom>
                  </pic:spPr>
                </pic:pic>
              </a:graphicData>
            </a:graphic>
          </wp:inline>
        </w:drawing>
      </w:r>
    </w:p>
    <w:p w14:paraId="64C3377A" w14:textId="77777777" w:rsidR="009B2420" w:rsidRDefault="006B2699" w:rsidP="006B2699">
      <w:pPr>
        <w:widowControl/>
        <w:shd w:val="clear" w:color="auto" w:fill="FFFFFF"/>
        <w:snapToGrid w:val="0"/>
        <w:rPr>
          <w:rFonts w:ascii="標楷體" w:eastAsia="標楷體" w:hAnsi="標楷體" w:cs="標楷體"/>
          <w:color w:val="000000"/>
          <w:spacing w:val="23"/>
          <w:kern w:val="0"/>
          <w:sz w:val="20"/>
          <w:szCs w:val="20"/>
        </w:rPr>
      </w:pPr>
      <w:r w:rsidRPr="006B2699">
        <w:rPr>
          <w:rFonts w:ascii="標楷體" w:eastAsia="標楷體" w:hAnsi="標楷體" w:cs="標楷體"/>
          <w:b/>
          <w:bCs/>
          <w:color w:val="000000"/>
          <w:spacing w:val="23"/>
          <w:kern w:val="0"/>
          <w:sz w:val="20"/>
          <w:szCs w:val="20"/>
        </w:rPr>
        <w:t>二、效度分析</w:t>
      </w:r>
      <w:r w:rsidRPr="006B2699">
        <w:rPr>
          <w:rFonts w:ascii="標楷體" w:eastAsia="標楷體" w:hAnsi="標楷體" w:cs="標楷體"/>
          <w:color w:val="000000"/>
          <w:spacing w:val="23"/>
          <w:kern w:val="0"/>
          <w:sz w:val="20"/>
          <w:szCs w:val="20"/>
        </w:rPr>
        <w:t>    </w:t>
      </w:r>
    </w:p>
    <w:p w14:paraId="3A87A5DB" w14:textId="31B4162B" w:rsidR="006B2699" w:rsidRPr="006B2699" w:rsidRDefault="006B2699" w:rsidP="006B2699">
      <w:pPr>
        <w:widowControl/>
        <w:shd w:val="clear" w:color="auto" w:fill="FFFFFF"/>
        <w:snapToGrid w:val="0"/>
        <w:rPr>
          <w:rFonts w:ascii="標楷體" w:eastAsia="標楷體" w:hAnsi="標楷體" w:cs="標楷體"/>
          <w:color w:val="3E3E3E"/>
          <w:spacing w:val="23"/>
          <w:kern w:val="0"/>
          <w:sz w:val="20"/>
          <w:szCs w:val="20"/>
        </w:rPr>
      </w:pPr>
      <w:r w:rsidRPr="006B2699">
        <w:rPr>
          <w:rFonts w:ascii="標楷體" w:eastAsia="標楷體" w:hAnsi="標楷體" w:cs="標楷體"/>
          <w:b/>
          <w:bCs/>
          <w:color w:val="000000"/>
          <w:spacing w:val="23"/>
          <w:kern w:val="0"/>
          <w:sz w:val="20"/>
          <w:szCs w:val="20"/>
          <w:highlight w:val="yellow"/>
        </w:rPr>
        <w:t>效度</w:t>
      </w:r>
      <w:r w:rsidRPr="006B2699">
        <w:rPr>
          <w:rFonts w:ascii="標楷體" w:eastAsia="標楷體" w:hAnsi="標楷體" w:cs="標楷體"/>
          <w:color w:val="000000"/>
          <w:spacing w:val="23"/>
          <w:kern w:val="0"/>
          <w:sz w:val="20"/>
          <w:szCs w:val="20"/>
        </w:rPr>
        <w:t>（Validity）即有效性，它是指測量工具或手段能夠準確測出所需測量的事物的程度。效度分為三種類型︰內容效度、準則效度和架構效度。效度分析有多種方法，其測量結果反映效度的不同方面。常用于調查問卷效度分析的方法主要有以下幾種。</w:t>
      </w:r>
      <w:r w:rsidRPr="006B2699">
        <w:rPr>
          <w:rFonts w:ascii="標楷體" w:eastAsia="標楷體" w:hAnsi="標楷體" w:cs="標楷體"/>
          <w:b/>
          <w:bCs/>
          <w:color w:val="000000"/>
          <w:spacing w:val="23"/>
          <w:kern w:val="0"/>
          <w:sz w:val="20"/>
          <w:szCs w:val="20"/>
        </w:rPr>
        <w:t>   </w:t>
      </w:r>
    </w:p>
    <w:p w14:paraId="5B6C12C3" w14:textId="77777777" w:rsidR="009B2420" w:rsidRDefault="006B2699" w:rsidP="006B2699">
      <w:pPr>
        <w:widowControl/>
        <w:shd w:val="clear" w:color="auto" w:fill="FFFFFF"/>
        <w:snapToGrid w:val="0"/>
        <w:rPr>
          <w:rFonts w:ascii="標楷體" w:eastAsia="標楷體" w:hAnsi="標楷體" w:cs="標楷體"/>
          <w:color w:val="000000"/>
          <w:spacing w:val="23"/>
          <w:kern w:val="0"/>
          <w:sz w:val="20"/>
          <w:szCs w:val="20"/>
        </w:rPr>
      </w:pPr>
      <w:r w:rsidRPr="006B2699">
        <w:rPr>
          <w:rFonts w:ascii="標楷體" w:eastAsia="標楷體" w:hAnsi="標楷體" w:cs="標楷體"/>
          <w:b/>
          <w:bCs/>
          <w:color w:val="000000"/>
          <w:spacing w:val="23"/>
          <w:kern w:val="0"/>
          <w:sz w:val="20"/>
          <w:szCs w:val="20"/>
        </w:rPr>
        <w:t>1、單項與總和相關效度分析</w:t>
      </w:r>
      <w:r w:rsidRPr="006B2699">
        <w:rPr>
          <w:rFonts w:ascii="標楷體" w:eastAsia="標楷體" w:hAnsi="標楷體" w:cs="標楷體"/>
          <w:color w:val="000000"/>
          <w:spacing w:val="23"/>
          <w:kern w:val="0"/>
          <w:sz w:val="20"/>
          <w:szCs w:val="20"/>
        </w:rPr>
        <w:t>    </w:t>
      </w:r>
    </w:p>
    <w:p w14:paraId="00F29150" w14:textId="30342494" w:rsidR="006B2699" w:rsidRPr="006B2699" w:rsidRDefault="006B2699" w:rsidP="006B2699">
      <w:pPr>
        <w:widowControl/>
        <w:shd w:val="clear" w:color="auto" w:fill="FFFFFF"/>
        <w:snapToGrid w:val="0"/>
        <w:rPr>
          <w:rFonts w:ascii="標楷體" w:eastAsia="標楷體" w:hAnsi="標楷體" w:cs="標楷體"/>
          <w:color w:val="3E3E3E"/>
          <w:spacing w:val="23"/>
          <w:kern w:val="0"/>
          <w:sz w:val="20"/>
          <w:szCs w:val="20"/>
        </w:rPr>
      </w:pPr>
      <w:r w:rsidRPr="006B2699">
        <w:rPr>
          <w:rFonts w:ascii="標楷體" w:eastAsia="標楷體" w:hAnsi="標楷體" w:cs="標楷體"/>
          <w:color w:val="000000"/>
          <w:spacing w:val="23"/>
          <w:kern w:val="0"/>
          <w:sz w:val="20"/>
          <w:szCs w:val="20"/>
        </w:rPr>
        <w:t>這種方法用于測量量表的內容效度。內容效度又稱表面效度或邏輯效度，它是指所設計的題項能否代表所要測量的內容或主題。對內容效度常採用邏輯分析與統計分析相結合的方法進行評價。邏輯分析一般由研究者或專家評判所選題項是否“看上去”符合測量的目的和要求。統計分析主要採用單項與總和相關分析法獲得評價結果，即計算每個題項得分與題項總分的相關係數，根據相關是否顯著判斷是否有效。若量表中有反意題項，應將其逆向處理后再計算總分。</w:t>
      </w:r>
      <w:r w:rsidRPr="006B2699">
        <w:rPr>
          <w:rFonts w:ascii="標楷體" w:eastAsia="標楷體" w:hAnsi="標楷體" w:cs="標楷體"/>
          <w:b/>
          <w:bCs/>
          <w:color w:val="000000"/>
          <w:spacing w:val="23"/>
          <w:kern w:val="0"/>
          <w:sz w:val="20"/>
          <w:szCs w:val="20"/>
        </w:rPr>
        <w:t>   </w:t>
      </w:r>
    </w:p>
    <w:p w14:paraId="5E067EB3" w14:textId="77777777" w:rsidR="009B2420" w:rsidRDefault="006B2699" w:rsidP="006B2699">
      <w:pPr>
        <w:widowControl/>
        <w:shd w:val="clear" w:color="auto" w:fill="FFFFFF"/>
        <w:snapToGrid w:val="0"/>
        <w:rPr>
          <w:rFonts w:ascii="標楷體" w:eastAsia="標楷體" w:hAnsi="標楷體" w:cs="標楷體"/>
          <w:color w:val="000000"/>
          <w:spacing w:val="23"/>
          <w:kern w:val="0"/>
          <w:sz w:val="20"/>
          <w:szCs w:val="20"/>
        </w:rPr>
      </w:pPr>
      <w:r w:rsidRPr="006B2699">
        <w:rPr>
          <w:rFonts w:ascii="標楷體" w:eastAsia="標楷體" w:hAnsi="標楷體" w:cs="標楷體"/>
          <w:b/>
          <w:bCs/>
          <w:color w:val="000000"/>
          <w:spacing w:val="23"/>
          <w:kern w:val="0"/>
          <w:sz w:val="20"/>
          <w:szCs w:val="20"/>
        </w:rPr>
        <w:t>2、準則效度分析</w:t>
      </w:r>
      <w:r w:rsidRPr="006B2699">
        <w:rPr>
          <w:rFonts w:ascii="標楷體" w:eastAsia="標楷體" w:hAnsi="標楷體" w:cs="標楷體"/>
          <w:color w:val="000000"/>
          <w:spacing w:val="23"/>
          <w:kern w:val="0"/>
          <w:sz w:val="20"/>
          <w:szCs w:val="20"/>
        </w:rPr>
        <w:t>    </w:t>
      </w:r>
    </w:p>
    <w:p w14:paraId="74BD59DD" w14:textId="4A1D3852" w:rsidR="006B2699" w:rsidRPr="006B2699" w:rsidRDefault="006B2699" w:rsidP="006B2699">
      <w:pPr>
        <w:widowControl/>
        <w:shd w:val="clear" w:color="auto" w:fill="FFFFFF"/>
        <w:snapToGrid w:val="0"/>
        <w:rPr>
          <w:rFonts w:ascii="標楷體" w:eastAsia="標楷體" w:hAnsi="標楷體" w:cs="標楷體"/>
          <w:color w:val="3E3E3E"/>
          <w:spacing w:val="23"/>
          <w:kern w:val="0"/>
          <w:sz w:val="20"/>
          <w:szCs w:val="20"/>
        </w:rPr>
      </w:pPr>
      <w:r w:rsidRPr="006B2699">
        <w:rPr>
          <w:rFonts w:ascii="標楷體" w:eastAsia="標楷體" w:hAnsi="標楷體" w:cs="標楷體"/>
          <w:color w:val="000000"/>
          <w:spacing w:val="23"/>
          <w:kern w:val="0"/>
          <w:sz w:val="20"/>
          <w:szCs w:val="20"/>
        </w:rPr>
        <w:t>準則效度又稱為效標效度或預測效度。準則效度分析是根據已經得到確定的某種理論，選擇一種指標或測量工具作為準則（效標），分析問卷題項與準則的聯繫，若二者相關顯著，或者問卷題項對準則的不同取值、特性表現出顯著差異，則為有效的題項。評價準則效度的方法是相關分析或差異顯著性檢驗。在調查問卷的效度分析中，選擇一個合適的準則往往十分困難，使這種方法的應用受到一定限制。</w:t>
      </w:r>
      <w:r w:rsidRPr="006B2699">
        <w:rPr>
          <w:rFonts w:ascii="標楷體" w:eastAsia="標楷體" w:hAnsi="標楷體" w:cs="標楷體"/>
          <w:b/>
          <w:bCs/>
          <w:color w:val="000000"/>
          <w:spacing w:val="23"/>
          <w:kern w:val="0"/>
          <w:sz w:val="20"/>
          <w:szCs w:val="20"/>
        </w:rPr>
        <w:t>   </w:t>
      </w:r>
    </w:p>
    <w:p w14:paraId="7D9770CC" w14:textId="77777777" w:rsidR="009B2420" w:rsidRDefault="006B2699" w:rsidP="006B2699">
      <w:pPr>
        <w:widowControl/>
        <w:shd w:val="clear" w:color="auto" w:fill="FFFFFF"/>
        <w:snapToGrid w:val="0"/>
        <w:rPr>
          <w:rFonts w:ascii="標楷體" w:eastAsia="標楷體" w:hAnsi="標楷體" w:cs="標楷體"/>
          <w:color w:val="000000"/>
          <w:spacing w:val="23"/>
          <w:kern w:val="0"/>
          <w:sz w:val="20"/>
          <w:szCs w:val="20"/>
        </w:rPr>
      </w:pPr>
      <w:r w:rsidRPr="006B2699">
        <w:rPr>
          <w:rFonts w:ascii="標楷體" w:eastAsia="標楷體" w:hAnsi="標楷體" w:cs="標楷體"/>
          <w:b/>
          <w:bCs/>
          <w:color w:val="000000"/>
          <w:spacing w:val="23"/>
          <w:kern w:val="0"/>
          <w:sz w:val="20"/>
          <w:szCs w:val="20"/>
        </w:rPr>
        <w:t>3、結構效度分析</w:t>
      </w:r>
      <w:r w:rsidRPr="006B2699">
        <w:rPr>
          <w:rFonts w:ascii="標楷體" w:eastAsia="標楷體" w:hAnsi="標楷體" w:cs="標楷體"/>
          <w:color w:val="000000"/>
          <w:spacing w:val="23"/>
          <w:kern w:val="0"/>
          <w:sz w:val="20"/>
          <w:szCs w:val="20"/>
        </w:rPr>
        <w:t>    </w:t>
      </w:r>
    </w:p>
    <w:p w14:paraId="1F2D6F25" w14:textId="3A377BDC" w:rsidR="006B2699" w:rsidRPr="006B2699" w:rsidRDefault="006B2699" w:rsidP="006B2699">
      <w:pPr>
        <w:widowControl/>
        <w:shd w:val="clear" w:color="auto" w:fill="FFFFFF"/>
        <w:snapToGrid w:val="0"/>
        <w:rPr>
          <w:rFonts w:ascii="標楷體" w:eastAsia="標楷體" w:hAnsi="標楷體" w:cs="標楷體"/>
          <w:color w:val="3E3E3E"/>
          <w:spacing w:val="23"/>
          <w:kern w:val="0"/>
          <w:sz w:val="20"/>
          <w:szCs w:val="20"/>
        </w:rPr>
      </w:pPr>
      <w:r w:rsidRPr="006B2699">
        <w:rPr>
          <w:rFonts w:ascii="標楷體" w:eastAsia="標楷體" w:hAnsi="標楷體" w:cs="標楷體"/>
          <w:color w:val="000000"/>
          <w:spacing w:val="23"/>
          <w:kern w:val="0"/>
          <w:sz w:val="20"/>
          <w:szCs w:val="20"/>
        </w:rPr>
        <w:t>結構效度是指測量結果體現出來的某種結構與測值之間的對應程度。架構效度分析所採用的方法是因子分析。有的學人認為，效度分析最理想的方法是利用因子分析測量量表或整個問卷的架構效度。因子分析的主要功能是從量表全部變量（題項）中提取一些公因子，各公因子分別與某一群特定變量高度關聯，這些公因子即代表了量表的基本架構。透過因子分析可以考察問卷是否能夠測量出研究者設計問卷時假設的某種架構。在因子分析的結果中，用于評價架構效度的主要指標有累積貢獻率、共同度和因子負荷。累積貢獻率反映公因子對量表或問卷的累積有效程度，共同度反映由公因子解釋原變量的有效程度，因子負荷反映原變量與某個公因子的相關程度。在結束本文時應再次強調，為了提升調查問卷的質量，進而提升整個研究的價值，問卷的信度和效度分析絕非贅疣蛇足，而是研究過程中必不可少的重要環節。 </w:t>
      </w:r>
      <w:r w:rsidRPr="006B2699">
        <w:rPr>
          <w:rFonts w:ascii="標楷體" w:eastAsia="標楷體" w:hAnsi="標楷體" w:cs="標楷體"/>
          <w:color w:val="29303B"/>
          <w:spacing w:val="23"/>
          <w:kern w:val="0"/>
          <w:sz w:val="20"/>
          <w:szCs w:val="20"/>
        </w:rPr>
        <w:t> </w:t>
      </w:r>
    </w:p>
    <w:p w14:paraId="026C0B50" w14:textId="77777777" w:rsidR="009B2420" w:rsidRDefault="009B2420" w:rsidP="006B2699">
      <w:pPr>
        <w:widowControl/>
        <w:snapToGrid w:val="0"/>
        <w:rPr>
          <w:rFonts w:ascii="標楷體" w:eastAsia="標楷體" w:hAnsi="標楷體" w:cs="標楷體"/>
          <w:color w:val="3E3E3E"/>
          <w:spacing w:val="23"/>
          <w:kern w:val="0"/>
          <w:sz w:val="20"/>
          <w:szCs w:val="20"/>
        </w:rPr>
      </w:pPr>
    </w:p>
    <w:p w14:paraId="61C4022A" w14:textId="11909899" w:rsidR="006B2699" w:rsidRDefault="006B2699" w:rsidP="006B2699">
      <w:pPr>
        <w:widowControl/>
        <w:snapToGrid w:val="0"/>
        <w:rPr>
          <w:rFonts w:ascii="標楷體" w:eastAsia="標楷體" w:hAnsi="標楷體" w:cs="標楷體"/>
          <w:color w:val="000000"/>
          <w:kern w:val="0"/>
          <w:sz w:val="20"/>
          <w:szCs w:val="20"/>
          <w:shd w:val="clear" w:color="auto" w:fill="F5F5F5"/>
        </w:rPr>
      </w:pPr>
      <w:r w:rsidRPr="006B2699">
        <w:rPr>
          <w:rFonts w:ascii="標楷體" w:eastAsia="標楷體" w:hAnsi="標楷體" w:cs="標楷體" w:hint="eastAsia"/>
          <w:color w:val="000000"/>
          <w:kern w:val="0"/>
          <w:sz w:val="20"/>
          <w:szCs w:val="20"/>
          <w:shd w:val="clear" w:color="auto" w:fill="F5F5F5"/>
        </w:rPr>
        <w:t>※影響效度的因素：</w:t>
      </w:r>
      <w:r w:rsidRPr="006B2699">
        <w:rPr>
          <w:rFonts w:ascii="標楷體" w:eastAsia="標楷體" w:hAnsi="標楷體" w:cs="標楷體" w:hint="eastAsia"/>
          <w:color w:val="000000"/>
          <w:kern w:val="0"/>
          <w:sz w:val="20"/>
          <w:szCs w:val="20"/>
        </w:rPr>
        <w:br/>
      </w:r>
      <w:r w:rsidRPr="006B2699">
        <w:rPr>
          <w:rFonts w:ascii="標楷體" w:eastAsia="標楷體" w:hAnsi="標楷體" w:cs="標楷體" w:hint="eastAsia"/>
          <w:color w:val="000000"/>
          <w:kern w:val="0"/>
          <w:sz w:val="20"/>
          <w:szCs w:val="20"/>
          <w:shd w:val="clear" w:color="auto" w:fill="F5F5F5"/>
        </w:rPr>
        <w:t>1.測驗編制過程是否得當</w:t>
      </w:r>
      <w:r w:rsidRPr="006B2699">
        <w:rPr>
          <w:rFonts w:ascii="標楷體" w:eastAsia="標楷體" w:hAnsi="標楷體" w:cs="標楷體" w:hint="eastAsia"/>
          <w:color w:val="000000"/>
          <w:kern w:val="0"/>
          <w:sz w:val="20"/>
          <w:szCs w:val="20"/>
        </w:rPr>
        <w:br/>
      </w:r>
      <w:r w:rsidRPr="006B2699">
        <w:rPr>
          <w:rFonts w:ascii="標楷體" w:eastAsia="標楷體" w:hAnsi="標楷體" w:cs="標楷體" w:hint="eastAsia"/>
          <w:color w:val="000000"/>
          <w:kern w:val="0"/>
          <w:sz w:val="20"/>
          <w:szCs w:val="20"/>
          <w:shd w:val="clear" w:color="auto" w:fill="F5F5F5"/>
        </w:rPr>
        <w:t>2.施測程序與情境是否良好</w:t>
      </w:r>
      <w:r w:rsidRPr="006B2699">
        <w:rPr>
          <w:rFonts w:ascii="標楷體" w:eastAsia="標楷體" w:hAnsi="標楷體" w:cs="標楷體" w:hint="eastAsia"/>
          <w:color w:val="000000"/>
          <w:kern w:val="0"/>
          <w:sz w:val="20"/>
          <w:szCs w:val="20"/>
        </w:rPr>
        <w:br/>
      </w:r>
      <w:r w:rsidRPr="006B2699">
        <w:rPr>
          <w:rFonts w:ascii="標楷體" w:eastAsia="標楷體" w:hAnsi="標楷體" w:cs="標楷體" w:hint="eastAsia"/>
          <w:color w:val="000000"/>
          <w:kern w:val="0"/>
          <w:sz w:val="20"/>
          <w:szCs w:val="20"/>
          <w:shd w:val="clear" w:color="auto" w:fill="F5F5F5"/>
        </w:rPr>
        <w:t>3.受試者的身心反應因素</w:t>
      </w:r>
      <w:r w:rsidRPr="006B2699">
        <w:rPr>
          <w:rFonts w:ascii="標楷體" w:eastAsia="標楷體" w:hAnsi="標楷體" w:cs="標楷體" w:hint="eastAsia"/>
          <w:color w:val="000000"/>
          <w:kern w:val="0"/>
          <w:sz w:val="20"/>
          <w:szCs w:val="20"/>
        </w:rPr>
        <w:br/>
      </w:r>
      <w:r w:rsidRPr="006B2699">
        <w:rPr>
          <w:rFonts w:ascii="標楷體" w:eastAsia="標楷體" w:hAnsi="標楷體" w:cs="標楷體" w:hint="eastAsia"/>
          <w:color w:val="000000"/>
          <w:kern w:val="0"/>
          <w:sz w:val="20"/>
          <w:szCs w:val="20"/>
          <w:shd w:val="clear" w:color="auto" w:fill="F5F5F5"/>
        </w:rPr>
        <w:t>4.外在效標品質</w:t>
      </w:r>
      <w:r w:rsidRPr="006B2699">
        <w:rPr>
          <w:rFonts w:ascii="標楷體" w:eastAsia="標楷體" w:hAnsi="標楷體" w:cs="標楷體" w:hint="eastAsia"/>
          <w:color w:val="000000"/>
          <w:kern w:val="0"/>
          <w:sz w:val="20"/>
          <w:szCs w:val="20"/>
        </w:rPr>
        <w:br/>
      </w:r>
      <w:r w:rsidRPr="006B2699">
        <w:rPr>
          <w:rFonts w:ascii="標楷體" w:eastAsia="標楷體" w:hAnsi="標楷體" w:cs="標楷體" w:hint="eastAsia"/>
          <w:color w:val="000000"/>
          <w:kern w:val="0"/>
          <w:sz w:val="20"/>
          <w:szCs w:val="20"/>
          <w:shd w:val="clear" w:color="auto" w:fill="F5F5F5"/>
        </w:rPr>
        <w:t>5.樣本能力分配的變異程度</w:t>
      </w:r>
    </w:p>
    <w:p w14:paraId="4793BFAE" w14:textId="77777777" w:rsidR="009B2420" w:rsidRDefault="009B2420" w:rsidP="009B2420">
      <w:pPr>
        <w:widowControl/>
        <w:snapToGrid w:val="0"/>
        <w:rPr>
          <w:rFonts w:ascii="標楷體" w:eastAsia="標楷體" w:hAnsi="標楷體" w:cs="標楷體"/>
          <w:color w:val="000000"/>
          <w:kern w:val="0"/>
          <w:sz w:val="20"/>
          <w:szCs w:val="20"/>
          <w:shd w:val="clear" w:color="auto" w:fill="F5F5F5"/>
        </w:rPr>
      </w:pPr>
    </w:p>
    <w:p w14:paraId="3026155A" w14:textId="0A2D4830" w:rsidR="009B2420" w:rsidRPr="009B2420" w:rsidRDefault="009B2420" w:rsidP="009B2420">
      <w:pPr>
        <w:widowControl/>
        <w:snapToGrid w:val="0"/>
        <w:rPr>
          <w:rFonts w:ascii="標楷體" w:eastAsia="標楷體" w:hAnsi="標楷體" w:cs="標楷體" w:hint="eastAsia"/>
          <w:color w:val="000000"/>
          <w:kern w:val="0"/>
          <w:sz w:val="20"/>
          <w:szCs w:val="20"/>
          <w:shd w:val="clear" w:color="auto" w:fill="F5F5F5"/>
        </w:rPr>
      </w:pPr>
      <w:r w:rsidRPr="009B2420">
        <w:rPr>
          <w:rFonts w:ascii="標楷體" w:eastAsia="標楷體" w:hAnsi="標楷體" w:cs="標楷體" w:hint="eastAsia"/>
          <w:color w:val="000000"/>
          <w:kern w:val="0"/>
          <w:sz w:val="20"/>
          <w:szCs w:val="20"/>
          <w:shd w:val="clear" w:color="auto" w:fill="F5F5F5"/>
        </w:rPr>
        <w:t>影響內在效度的因素</w:t>
      </w:r>
    </w:p>
    <w:p w14:paraId="724E5AE8" w14:textId="063701FA" w:rsidR="009B2420" w:rsidRPr="009B2420" w:rsidRDefault="009B2420" w:rsidP="009B2420">
      <w:pPr>
        <w:widowControl/>
        <w:snapToGrid w:val="0"/>
        <w:rPr>
          <w:rFonts w:ascii="標楷體" w:eastAsia="標楷體" w:hAnsi="標楷體" w:cs="標楷體"/>
          <w:color w:val="000000"/>
          <w:kern w:val="0"/>
          <w:sz w:val="20"/>
          <w:szCs w:val="20"/>
          <w:shd w:val="clear" w:color="auto" w:fill="F5F5F5"/>
        </w:rPr>
      </w:pPr>
      <w:r w:rsidRPr="009B2420">
        <w:rPr>
          <w:rFonts w:ascii="標楷體" w:eastAsia="標楷體" w:hAnsi="標楷體" w:cs="標楷體" w:hint="eastAsia"/>
          <w:color w:val="000000"/>
          <w:kern w:val="0"/>
          <w:sz w:val="20"/>
          <w:szCs w:val="20"/>
          <w:shd w:val="clear" w:color="auto" w:fill="F5F5F5"/>
        </w:rPr>
        <w:lastRenderedPageBreak/>
        <w:t>1.成熟(發生於較長時間的實驗)</w:t>
      </w:r>
    </w:p>
    <w:p w14:paraId="4CD96F36" w14:textId="07539191" w:rsidR="009B2420" w:rsidRPr="009B2420" w:rsidRDefault="009B2420" w:rsidP="009B2420">
      <w:pPr>
        <w:widowControl/>
        <w:snapToGrid w:val="0"/>
        <w:rPr>
          <w:rFonts w:ascii="標楷體" w:eastAsia="標楷體" w:hAnsi="標楷體" w:cs="標楷體" w:hint="eastAsia"/>
          <w:color w:val="000000"/>
          <w:kern w:val="0"/>
          <w:sz w:val="20"/>
          <w:szCs w:val="20"/>
          <w:shd w:val="clear" w:color="auto" w:fill="F5F5F5"/>
        </w:rPr>
      </w:pPr>
      <w:r w:rsidRPr="009B2420">
        <w:rPr>
          <w:rFonts w:ascii="標楷體" w:eastAsia="標楷體" w:hAnsi="標楷體" w:cs="標楷體" w:hint="eastAsia"/>
          <w:color w:val="000000"/>
          <w:kern w:val="0"/>
          <w:sz w:val="20"/>
          <w:szCs w:val="20"/>
          <w:shd w:val="clear" w:color="auto" w:fill="F5F5F5"/>
        </w:rPr>
        <w:t>2.選樣的差異</w:t>
      </w:r>
    </w:p>
    <w:p w14:paraId="3E7E1368" w14:textId="2C040E91" w:rsidR="009B2420" w:rsidRPr="009B2420" w:rsidRDefault="009B2420" w:rsidP="009B2420">
      <w:pPr>
        <w:widowControl/>
        <w:snapToGrid w:val="0"/>
        <w:rPr>
          <w:rFonts w:ascii="標楷體" w:eastAsia="標楷體" w:hAnsi="標楷體" w:cs="標楷體" w:hint="eastAsia"/>
          <w:color w:val="000000"/>
          <w:kern w:val="0"/>
          <w:sz w:val="20"/>
          <w:szCs w:val="20"/>
          <w:shd w:val="clear" w:color="auto" w:fill="F5F5F5"/>
        </w:rPr>
      </w:pPr>
      <w:r w:rsidRPr="009B2420">
        <w:rPr>
          <w:rFonts w:ascii="標楷體" w:eastAsia="標楷體" w:hAnsi="標楷體" w:cs="標楷體" w:hint="eastAsia"/>
          <w:color w:val="000000"/>
          <w:kern w:val="0"/>
          <w:sz w:val="20"/>
          <w:szCs w:val="20"/>
          <w:shd w:val="clear" w:color="auto" w:fill="F5F5F5"/>
        </w:rPr>
        <w:t>3.歷史事件(突發事件)</w:t>
      </w:r>
    </w:p>
    <w:p w14:paraId="7D89D3DB" w14:textId="7D6DD48B" w:rsidR="009B2420" w:rsidRPr="009B2420" w:rsidRDefault="009B2420" w:rsidP="009B2420">
      <w:pPr>
        <w:widowControl/>
        <w:snapToGrid w:val="0"/>
        <w:rPr>
          <w:rFonts w:ascii="標楷體" w:eastAsia="標楷體" w:hAnsi="標楷體" w:cs="標楷體" w:hint="eastAsia"/>
          <w:color w:val="000000"/>
          <w:kern w:val="0"/>
          <w:sz w:val="20"/>
          <w:szCs w:val="20"/>
          <w:shd w:val="clear" w:color="auto" w:fill="F5F5F5"/>
        </w:rPr>
      </w:pPr>
      <w:r w:rsidRPr="009B2420">
        <w:rPr>
          <w:rFonts w:ascii="標楷體" w:eastAsia="標楷體" w:hAnsi="標楷體" w:cs="標楷體" w:hint="eastAsia"/>
          <w:color w:val="000000"/>
          <w:kern w:val="0"/>
          <w:sz w:val="20"/>
          <w:szCs w:val="20"/>
          <w:shd w:val="clear" w:color="auto" w:fill="F5F5F5"/>
        </w:rPr>
        <w:t>4.受試者亡佚(中途退出)---&gt;偏差樣本</w:t>
      </w:r>
    </w:p>
    <w:p w14:paraId="04B35B1C" w14:textId="7288994B" w:rsidR="009B2420" w:rsidRPr="009B2420" w:rsidRDefault="009B2420" w:rsidP="009B2420">
      <w:pPr>
        <w:widowControl/>
        <w:snapToGrid w:val="0"/>
        <w:rPr>
          <w:rFonts w:ascii="標楷體" w:eastAsia="標楷體" w:hAnsi="標楷體" w:cs="標楷體" w:hint="eastAsia"/>
          <w:color w:val="000000"/>
          <w:kern w:val="0"/>
          <w:sz w:val="20"/>
          <w:szCs w:val="20"/>
          <w:shd w:val="clear" w:color="auto" w:fill="F5F5F5"/>
        </w:rPr>
      </w:pPr>
      <w:r w:rsidRPr="009B2420">
        <w:rPr>
          <w:rFonts w:ascii="標楷體" w:eastAsia="標楷體" w:hAnsi="標楷體" w:cs="標楷體" w:hint="eastAsia"/>
          <w:color w:val="000000"/>
          <w:kern w:val="0"/>
          <w:sz w:val="20"/>
          <w:szCs w:val="20"/>
          <w:shd w:val="clear" w:color="auto" w:fill="F5F5F5"/>
        </w:rPr>
        <w:t>5.選樣與成熟的交互作用</w:t>
      </w:r>
    </w:p>
    <w:p w14:paraId="704B8CDD" w14:textId="13FD2BDE" w:rsidR="009B2420" w:rsidRPr="009B2420" w:rsidRDefault="009B2420" w:rsidP="009B2420">
      <w:pPr>
        <w:widowControl/>
        <w:snapToGrid w:val="0"/>
        <w:rPr>
          <w:rFonts w:ascii="標楷體" w:eastAsia="標楷體" w:hAnsi="標楷體" w:cs="標楷體" w:hint="eastAsia"/>
          <w:color w:val="000000"/>
          <w:kern w:val="0"/>
          <w:sz w:val="20"/>
          <w:szCs w:val="20"/>
          <w:shd w:val="clear" w:color="auto" w:fill="F5F5F5"/>
        </w:rPr>
      </w:pPr>
      <w:r w:rsidRPr="009B2420">
        <w:rPr>
          <w:rFonts w:ascii="標楷體" w:eastAsia="標楷體" w:hAnsi="標楷體" w:cs="標楷體" w:hint="eastAsia"/>
          <w:color w:val="000000"/>
          <w:kern w:val="0"/>
          <w:sz w:val="20"/>
          <w:szCs w:val="20"/>
          <w:shd w:val="clear" w:color="auto" w:fill="F5F5F5"/>
        </w:rPr>
        <w:t>6.測量工具的變化</w:t>
      </w:r>
    </w:p>
    <w:p w14:paraId="39071EE6" w14:textId="32AF8E91" w:rsidR="009B2420" w:rsidRPr="009B2420" w:rsidRDefault="009B2420" w:rsidP="009B2420">
      <w:pPr>
        <w:widowControl/>
        <w:snapToGrid w:val="0"/>
        <w:rPr>
          <w:rFonts w:ascii="標楷體" w:eastAsia="標楷體" w:hAnsi="標楷體" w:cs="標楷體" w:hint="eastAsia"/>
          <w:color w:val="000000"/>
          <w:kern w:val="0"/>
          <w:sz w:val="20"/>
          <w:szCs w:val="20"/>
          <w:shd w:val="clear" w:color="auto" w:fill="F5F5F5"/>
        </w:rPr>
      </w:pPr>
      <w:r w:rsidRPr="009B2420">
        <w:rPr>
          <w:rFonts w:ascii="標楷體" w:eastAsia="標楷體" w:hAnsi="標楷體" w:cs="標楷體" w:hint="eastAsia"/>
          <w:color w:val="000000"/>
          <w:kern w:val="0"/>
          <w:sz w:val="20"/>
          <w:szCs w:val="20"/>
          <w:shd w:val="clear" w:color="auto" w:fill="F5F5F5"/>
        </w:rPr>
        <w:t>7.測驗(測試經驗)</w:t>
      </w:r>
    </w:p>
    <w:p w14:paraId="07F60410" w14:textId="2C36B21E" w:rsidR="009B2420" w:rsidRPr="002631B6" w:rsidRDefault="009B2420" w:rsidP="009B2420">
      <w:pPr>
        <w:widowControl/>
        <w:snapToGrid w:val="0"/>
        <w:rPr>
          <w:rFonts w:ascii="標楷體" w:eastAsia="標楷體" w:hAnsi="標楷體" w:cs="標楷體"/>
          <w:color w:val="000000"/>
          <w:kern w:val="0"/>
          <w:sz w:val="20"/>
          <w:szCs w:val="20"/>
          <w:shd w:val="clear" w:color="auto" w:fill="F5F5F5"/>
        </w:rPr>
      </w:pPr>
      <w:r w:rsidRPr="009B2420">
        <w:rPr>
          <w:rFonts w:ascii="標楷體" w:eastAsia="標楷體" w:hAnsi="標楷體" w:cs="標楷體" w:hint="eastAsia"/>
          <w:color w:val="000000"/>
          <w:kern w:val="0"/>
          <w:sz w:val="20"/>
          <w:szCs w:val="20"/>
          <w:shd w:val="clear" w:color="auto" w:fill="F5F5F5"/>
        </w:rPr>
        <w:t>8.統計迴歸效應----&gt;發生於(1)採極端選樣 (2)採前後測實驗設計</w:t>
      </w:r>
    </w:p>
    <w:p w14:paraId="0B053A72" w14:textId="495BF912" w:rsidR="009B2420" w:rsidRPr="009B2420" w:rsidRDefault="009B2420" w:rsidP="009B2420">
      <w:pPr>
        <w:widowControl/>
        <w:snapToGrid w:val="0"/>
        <w:rPr>
          <w:rFonts w:ascii="標楷體" w:eastAsia="標楷體" w:hAnsi="標楷體" w:cs="標楷體" w:hint="eastAsia"/>
          <w:color w:val="000000"/>
          <w:kern w:val="0"/>
          <w:sz w:val="20"/>
          <w:szCs w:val="20"/>
          <w:shd w:val="clear" w:color="auto" w:fill="F5F5F5"/>
        </w:rPr>
      </w:pPr>
      <w:r w:rsidRPr="009B2420">
        <w:rPr>
          <w:rFonts w:ascii="標楷體" w:eastAsia="標楷體" w:hAnsi="標楷體" w:cs="標楷體" w:hint="eastAsia"/>
          <w:color w:val="000000"/>
          <w:kern w:val="0"/>
          <w:sz w:val="20"/>
          <w:szCs w:val="20"/>
          <w:shd w:val="clear" w:color="auto" w:fill="F5F5F5"/>
        </w:rPr>
        <w:t>9.強亨利效應</w:t>
      </w:r>
    </w:p>
    <w:p w14:paraId="2A130933" w14:textId="686F0F03" w:rsidR="009B2420" w:rsidRPr="009B2420" w:rsidRDefault="009B2420" w:rsidP="009B2420">
      <w:pPr>
        <w:widowControl/>
        <w:snapToGrid w:val="0"/>
        <w:rPr>
          <w:rFonts w:ascii="標楷體" w:eastAsia="標楷體" w:hAnsi="標楷體" w:cs="標楷體" w:hint="eastAsia"/>
          <w:color w:val="000000"/>
          <w:kern w:val="0"/>
          <w:sz w:val="20"/>
          <w:szCs w:val="20"/>
          <w:shd w:val="clear" w:color="auto" w:fill="F5F5F5"/>
        </w:rPr>
      </w:pPr>
      <w:r w:rsidRPr="009B2420">
        <w:rPr>
          <w:rFonts w:ascii="標楷體" w:eastAsia="標楷體" w:hAnsi="標楷體" w:cs="標楷體" w:hint="eastAsia"/>
          <w:color w:val="000000"/>
          <w:kern w:val="0"/>
          <w:sz w:val="20"/>
          <w:szCs w:val="20"/>
          <w:shd w:val="clear" w:color="auto" w:fill="F5F5F5"/>
        </w:rPr>
        <w:t>10.怨恨性怠工</w:t>
      </w:r>
    </w:p>
    <w:p w14:paraId="47737A5E" w14:textId="079FE060" w:rsidR="009B2420" w:rsidRPr="002631B6" w:rsidRDefault="009B2420" w:rsidP="009B2420">
      <w:pPr>
        <w:widowControl/>
        <w:snapToGrid w:val="0"/>
        <w:rPr>
          <w:rFonts w:ascii="標楷體" w:eastAsia="標楷體" w:hAnsi="標楷體" w:cs="標楷體"/>
          <w:color w:val="000000"/>
          <w:kern w:val="0"/>
          <w:sz w:val="20"/>
          <w:szCs w:val="20"/>
          <w:shd w:val="clear" w:color="auto" w:fill="F5F5F5"/>
        </w:rPr>
      </w:pPr>
      <w:r w:rsidRPr="009B2420">
        <w:rPr>
          <w:rFonts w:ascii="標楷體" w:eastAsia="標楷體" w:hAnsi="標楷體" w:cs="標楷體" w:hint="eastAsia"/>
          <w:color w:val="000000"/>
          <w:kern w:val="0"/>
          <w:sz w:val="20"/>
          <w:szCs w:val="20"/>
          <w:shd w:val="clear" w:color="auto" w:fill="F5F5F5"/>
        </w:rPr>
        <w:t>11.補償性均等(對控制組)----&gt;白藥劑效應</w:t>
      </w:r>
    </w:p>
    <w:p w14:paraId="5371C13F" w14:textId="1B6F8723" w:rsidR="009B2420" w:rsidRPr="009B2420" w:rsidRDefault="009B2420" w:rsidP="009B2420">
      <w:pPr>
        <w:widowControl/>
        <w:snapToGrid w:val="0"/>
        <w:rPr>
          <w:rFonts w:ascii="標楷體" w:eastAsia="標楷體" w:hAnsi="標楷體" w:cs="標楷體" w:hint="eastAsia"/>
          <w:color w:val="000000"/>
          <w:kern w:val="0"/>
          <w:sz w:val="20"/>
          <w:szCs w:val="20"/>
          <w:shd w:val="clear" w:color="auto" w:fill="F5F5F5"/>
        </w:rPr>
      </w:pPr>
      <w:r w:rsidRPr="009B2420">
        <w:rPr>
          <w:rFonts w:ascii="標楷體" w:eastAsia="標楷體" w:hAnsi="標楷體" w:cs="標楷體" w:hint="eastAsia"/>
          <w:color w:val="000000"/>
          <w:kern w:val="0"/>
          <w:sz w:val="20"/>
          <w:szCs w:val="20"/>
          <w:shd w:val="clear" w:color="auto" w:fill="F5F5F5"/>
        </w:rPr>
        <w:t>12.實驗處理的擴散</w:t>
      </w:r>
    </w:p>
    <w:p w14:paraId="411C2FF5" w14:textId="20A00F67" w:rsidR="009B2420" w:rsidRPr="009B2420" w:rsidRDefault="009B2420" w:rsidP="009B2420">
      <w:pPr>
        <w:widowControl/>
        <w:snapToGrid w:val="0"/>
        <w:rPr>
          <w:rFonts w:ascii="標楷體" w:eastAsia="標楷體" w:hAnsi="標楷體" w:cs="標楷體" w:hint="eastAsia"/>
          <w:color w:val="000000"/>
          <w:kern w:val="0"/>
          <w:sz w:val="20"/>
          <w:szCs w:val="20"/>
          <w:shd w:val="clear" w:color="auto" w:fill="F5F5F5"/>
        </w:rPr>
      </w:pPr>
      <w:r w:rsidRPr="009B2420">
        <w:rPr>
          <w:rFonts w:ascii="標楷體" w:eastAsia="標楷體" w:hAnsi="標楷體" w:cs="標楷體" w:hint="eastAsia"/>
          <w:color w:val="000000"/>
          <w:kern w:val="0"/>
          <w:sz w:val="20"/>
          <w:szCs w:val="20"/>
          <w:shd w:val="clear" w:color="auto" w:fill="F5F5F5"/>
        </w:rPr>
        <w:t>13.統計分析</w:t>
      </w:r>
    </w:p>
    <w:p w14:paraId="733AD05D" w14:textId="71689B86" w:rsidR="009B2420" w:rsidRDefault="009B2420" w:rsidP="009B2420">
      <w:pPr>
        <w:widowControl/>
        <w:snapToGrid w:val="0"/>
        <w:rPr>
          <w:rFonts w:ascii="標楷體" w:eastAsia="標楷體" w:hAnsi="標楷體" w:cs="標楷體" w:hint="eastAsia"/>
          <w:color w:val="000000"/>
          <w:kern w:val="0"/>
          <w:sz w:val="20"/>
          <w:szCs w:val="20"/>
          <w:shd w:val="clear" w:color="auto" w:fill="F5F5F5"/>
        </w:rPr>
      </w:pPr>
      <w:r w:rsidRPr="009B2420">
        <w:rPr>
          <w:rFonts w:ascii="標楷體" w:eastAsia="標楷體" w:hAnsi="標楷體" w:cs="標楷體" w:hint="eastAsia"/>
          <w:color w:val="000000"/>
          <w:kern w:val="0"/>
          <w:sz w:val="20"/>
          <w:szCs w:val="20"/>
          <w:shd w:val="clear" w:color="auto" w:fill="F5F5F5"/>
        </w:rPr>
        <w:t>14.實驗者偏見</w:t>
      </w:r>
    </w:p>
    <w:p w14:paraId="0689B6FC" w14:textId="77777777" w:rsidR="009B2420" w:rsidRPr="006B2699" w:rsidRDefault="009B2420" w:rsidP="006B2699">
      <w:pPr>
        <w:widowControl/>
        <w:snapToGrid w:val="0"/>
        <w:rPr>
          <w:rFonts w:ascii="標楷體" w:eastAsia="標楷體" w:hAnsi="標楷體" w:cs="標楷體" w:hint="eastAsia"/>
          <w:kern w:val="0"/>
          <w:sz w:val="20"/>
          <w:szCs w:val="20"/>
        </w:rPr>
      </w:pPr>
    </w:p>
    <w:p w14:paraId="3F9A309F" w14:textId="6C3D952C" w:rsidR="009B2420" w:rsidRPr="009B2420" w:rsidRDefault="009B2420" w:rsidP="009B2420">
      <w:pPr>
        <w:snapToGrid w:val="0"/>
        <w:rPr>
          <w:rFonts w:ascii="標楷體" w:eastAsia="標楷體" w:hAnsi="標楷體" w:cs="標楷體" w:hint="eastAsia"/>
          <w:sz w:val="20"/>
          <w:szCs w:val="20"/>
        </w:rPr>
      </w:pPr>
      <w:r w:rsidRPr="009B2420">
        <w:rPr>
          <w:rFonts w:ascii="標楷體" w:eastAsia="標楷體" w:hAnsi="標楷體" w:cs="標楷體" w:hint="eastAsia"/>
          <w:sz w:val="20"/>
          <w:szCs w:val="20"/>
        </w:rPr>
        <w:t>影響外在效度的因素：</w:t>
      </w:r>
    </w:p>
    <w:p w14:paraId="7F7C04EA" w14:textId="2A510934" w:rsidR="009B2420" w:rsidRPr="009B2420" w:rsidRDefault="009B2420" w:rsidP="009B2420">
      <w:pPr>
        <w:snapToGrid w:val="0"/>
        <w:rPr>
          <w:rFonts w:ascii="標楷體" w:eastAsia="標楷體" w:hAnsi="標楷體" w:cs="標楷體" w:hint="eastAsia"/>
          <w:sz w:val="20"/>
          <w:szCs w:val="20"/>
        </w:rPr>
      </w:pPr>
      <w:r w:rsidRPr="009B2420">
        <w:rPr>
          <w:rFonts w:ascii="標楷體" w:eastAsia="標楷體" w:hAnsi="標楷體" w:cs="標楷體" w:hint="eastAsia"/>
          <w:sz w:val="20"/>
          <w:szCs w:val="20"/>
        </w:rPr>
        <w:t>1.施測的反作用效果：指採用前後測設計時，實驗的結果僅能推論至有前測的情境，而無法概括無前測的情境。</w:t>
      </w:r>
    </w:p>
    <w:p w14:paraId="40FF9ED1" w14:textId="01DAE77C" w:rsidR="009B2420" w:rsidRPr="009B2420" w:rsidRDefault="009B2420" w:rsidP="009B2420">
      <w:pPr>
        <w:snapToGrid w:val="0"/>
        <w:rPr>
          <w:rFonts w:ascii="標楷體" w:eastAsia="標楷體" w:hAnsi="標楷體" w:cs="標楷體"/>
          <w:sz w:val="20"/>
          <w:szCs w:val="20"/>
        </w:rPr>
      </w:pPr>
      <w:r w:rsidRPr="009B2420">
        <w:rPr>
          <w:rFonts w:ascii="標楷體" w:eastAsia="標楷體" w:hAnsi="標楷體" w:cs="標楷體" w:hint="eastAsia"/>
          <w:sz w:val="20"/>
          <w:szCs w:val="20"/>
        </w:rPr>
        <w:t>2.霍桑效應：實驗時，受試者知道自己正在參加實驗、正在被觀察，則足以使他表現得與平常非實驗情境不一樣，此種實驗安排的反作用效果，即稱為霍桑效應，其會影響實驗研究的外在效度，使結論的推論有困難。</w:t>
      </w:r>
    </w:p>
    <w:p w14:paraId="297E0E8F" w14:textId="1AD2F6C1" w:rsidR="009B2420" w:rsidRPr="009B2420" w:rsidRDefault="009B2420" w:rsidP="009B2420">
      <w:pPr>
        <w:snapToGrid w:val="0"/>
        <w:rPr>
          <w:rFonts w:ascii="標楷體" w:eastAsia="標楷體" w:hAnsi="標楷體" w:cs="標楷體"/>
          <w:sz w:val="20"/>
          <w:szCs w:val="20"/>
        </w:rPr>
      </w:pPr>
      <w:r w:rsidRPr="009B2420">
        <w:rPr>
          <w:rFonts w:ascii="標楷體" w:eastAsia="標楷體" w:hAnsi="標楷體" w:cs="標楷體" w:hint="eastAsia"/>
          <w:sz w:val="20"/>
          <w:szCs w:val="20"/>
        </w:rPr>
        <w:t>3.選擇與實驗變項的交互作用：「實驗變項」本身的性質如何便足以使受試者選擇產生偏頗，如進行有關特殊教育方面的實驗，便容易在對特書教育方面有興趣的校長所服務的學校找到學生參加實驗，而用這樣偏頗的受試樣本實驗出來的結果，不一定能適用於其他學校。</w:t>
      </w:r>
    </w:p>
    <w:p w14:paraId="78A4A5F8" w14:textId="377B930C" w:rsidR="001F4F3E" w:rsidRDefault="009B2420" w:rsidP="009B2420">
      <w:pPr>
        <w:snapToGrid w:val="0"/>
        <w:rPr>
          <w:rFonts w:ascii="標楷體" w:eastAsia="標楷體" w:hAnsi="標楷體" w:cs="標楷體"/>
          <w:sz w:val="20"/>
          <w:szCs w:val="20"/>
        </w:rPr>
      </w:pPr>
      <w:r w:rsidRPr="009B2420">
        <w:rPr>
          <w:rFonts w:ascii="標楷體" w:eastAsia="標楷體" w:hAnsi="標楷體" w:cs="標楷體" w:hint="eastAsia"/>
          <w:sz w:val="20"/>
          <w:szCs w:val="20"/>
        </w:rPr>
        <w:t>4.重複實驗處理的干擾：同一組受試者重複揪受不同處理時，雖可增加實驗內在效度，但其外在效度卻可能反而降低，亦即此種重複處理的實驗結論較無法推論到非重複處理的情境。</w:t>
      </w:r>
    </w:p>
    <w:p w14:paraId="1AC508C8" w14:textId="13EE96D5" w:rsidR="002631B6" w:rsidRDefault="002631B6" w:rsidP="009B2420">
      <w:pPr>
        <w:snapToGrid w:val="0"/>
        <w:rPr>
          <w:rFonts w:ascii="標楷體" w:eastAsia="標楷體" w:hAnsi="標楷體" w:cs="標楷體"/>
          <w:sz w:val="20"/>
          <w:szCs w:val="20"/>
        </w:rPr>
      </w:pPr>
    </w:p>
    <w:p w14:paraId="02F46CB9" w14:textId="436EF5BC" w:rsidR="002631B6" w:rsidRPr="002631B6" w:rsidRDefault="002631B6" w:rsidP="002631B6">
      <w:pPr>
        <w:snapToGrid w:val="0"/>
        <w:rPr>
          <w:rFonts w:ascii="標楷體" w:eastAsia="標楷體" w:hAnsi="標楷體" w:cs="標楷體" w:hint="eastAsia"/>
          <w:b/>
          <w:bCs/>
          <w:sz w:val="20"/>
          <w:szCs w:val="20"/>
        </w:rPr>
      </w:pPr>
      <w:r w:rsidRPr="002631B6">
        <w:rPr>
          <w:rFonts w:ascii="標楷體" w:eastAsia="標楷體" w:hAnsi="標楷體" w:cs="標楷體" w:hint="eastAsia"/>
          <w:b/>
          <w:bCs/>
          <w:sz w:val="20"/>
          <w:szCs w:val="20"/>
          <w:highlight w:val="yellow"/>
        </w:rPr>
        <w:t>信度是效度的必要但非充分條件。</w:t>
      </w:r>
    </w:p>
    <w:p w14:paraId="52945279" w14:textId="1DDD0754" w:rsidR="002631B6" w:rsidRPr="002631B6" w:rsidRDefault="002631B6" w:rsidP="002631B6">
      <w:pPr>
        <w:snapToGrid w:val="0"/>
        <w:rPr>
          <w:rFonts w:ascii="標楷體" w:eastAsia="標楷體" w:hAnsi="標楷體" w:cs="標楷體" w:hint="eastAsia"/>
          <w:sz w:val="20"/>
          <w:szCs w:val="20"/>
        </w:rPr>
      </w:pPr>
      <w:r w:rsidRPr="002631B6">
        <w:rPr>
          <w:rFonts w:ascii="標楷體" w:eastAsia="標楷體" w:hAnsi="標楷體" w:cs="標楷體" w:hint="eastAsia"/>
          <w:sz w:val="20"/>
          <w:szCs w:val="20"/>
        </w:rPr>
        <w:t>關於這句話的意涵如果懂一點統計，就可 以從「變異」的角度來理解。在此我們就先省略此觀點，先依簡茂發的觀點來說明：</w:t>
      </w:r>
    </w:p>
    <w:p w14:paraId="1F2CC3B3" w14:textId="77777777" w:rsidR="002631B6" w:rsidRPr="002631B6" w:rsidRDefault="002631B6" w:rsidP="002631B6">
      <w:pPr>
        <w:snapToGrid w:val="0"/>
        <w:rPr>
          <w:rFonts w:ascii="標楷體" w:eastAsia="標楷體" w:hAnsi="標楷體" w:cs="標楷體" w:hint="eastAsia"/>
          <w:sz w:val="20"/>
          <w:szCs w:val="20"/>
        </w:rPr>
      </w:pPr>
      <w:r w:rsidRPr="002631B6">
        <w:rPr>
          <w:rFonts w:ascii="標楷體" w:eastAsia="標楷體" w:hAnsi="標楷體" w:cs="標楷體" w:hint="eastAsia"/>
          <w:sz w:val="20"/>
          <w:szCs w:val="20"/>
        </w:rPr>
        <w:t xml:space="preserve">（一） </w:t>
      </w:r>
      <w:r w:rsidRPr="002631B6">
        <w:rPr>
          <w:rFonts w:ascii="標楷體" w:eastAsia="標楷體" w:hAnsi="標楷體" w:cs="標楷體" w:hint="eastAsia"/>
          <w:b/>
          <w:bCs/>
          <w:color w:val="FF0000"/>
          <w:sz w:val="20"/>
          <w:szCs w:val="20"/>
        </w:rPr>
        <w:t>信度是效度的必要條件</w:t>
      </w:r>
      <w:r w:rsidRPr="002631B6">
        <w:rPr>
          <w:rFonts w:ascii="標楷體" w:eastAsia="標楷體" w:hAnsi="標楷體" w:cs="標楷體" w:hint="eastAsia"/>
          <w:sz w:val="20"/>
          <w:szCs w:val="20"/>
        </w:rPr>
        <w:t>：即一個工具得先有好的信度，才有必要探討其效度，好的信度是一個測量工具的最基本條件。</w:t>
      </w:r>
    </w:p>
    <w:p w14:paraId="5D83E11B" w14:textId="0895E245" w:rsidR="002631B6" w:rsidRPr="002631B6" w:rsidRDefault="002631B6" w:rsidP="002631B6">
      <w:pPr>
        <w:snapToGrid w:val="0"/>
        <w:rPr>
          <w:rFonts w:ascii="標楷體" w:eastAsia="標楷體" w:hAnsi="標楷體" w:cs="標楷體" w:hint="eastAsia"/>
          <w:sz w:val="20"/>
          <w:szCs w:val="20"/>
        </w:rPr>
      </w:pPr>
      <w:r w:rsidRPr="002631B6">
        <w:rPr>
          <w:rFonts w:ascii="標楷體" w:eastAsia="標楷體" w:hAnsi="標楷體" w:cs="標楷體" w:hint="eastAsia"/>
          <w:sz w:val="20"/>
          <w:szCs w:val="20"/>
        </w:rPr>
        <w:t xml:space="preserve">（二） </w:t>
      </w:r>
      <w:r w:rsidRPr="002631B6">
        <w:rPr>
          <w:rFonts w:ascii="標楷體" w:eastAsia="標楷體" w:hAnsi="標楷體" w:cs="標楷體" w:hint="eastAsia"/>
          <w:color w:val="FF0000"/>
          <w:sz w:val="20"/>
          <w:szCs w:val="20"/>
        </w:rPr>
        <w:t>信度是效度的非充分條件</w:t>
      </w:r>
      <w:r w:rsidRPr="002631B6">
        <w:rPr>
          <w:rFonts w:ascii="標楷體" w:eastAsia="標楷體" w:hAnsi="標楷體" w:cs="標楷體" w:hint="eastAsia"/>
          <w:sz w:val="20"/>
          <w:szCs w:val="20"/>
        </w:rPr>
        <w:t>：即一個工具就算有高的信度，也未必會有好的效度。</w:t>
      </w:r>
    </w:p>
    <w:p w14:paraId="275FB2E9" w14:textId="77777777" w:rsidR="002631B6" w:rsidRPr="002631B6" w:rsidRDefault="002631B6" w:rsidP="002631B6">
      <w:pPr>
        <w:snapToGrid w:val="0"/>
        <w:rPr>
          <w:rFonts w:ascii="標楷體" w:eastAsia="標楷體" w:hAnsi="標楷體" w:cs="標楷體" w:hint="eastAsia"/>
          <w:sz w:val="20"/>
          <w:szCs w:val="20"/>
        </w:rPr>
      </w:pPr>
      <w:r w:rsidRPr="002631B6">
        <w:rPr>
          <w:rFonts w:ascii="標楷體" w:eastAsia="標楷體" w:hAnsi="標楷體" w:cs="標楷體" w:hint="eastAsia"/>
          <w:sz w:val="20"/>
          <w:szCs w:val="20"/>
        </w:rPr>
        <w:t>所以，</w:t>
      </w:r>
    </w:p>
    <w:p w14:paraId="1D5F4FEA" w14:textId="77777777" w:rsidR="002631B6" w:rsidRPr="002631B6" w:rsidRDefault="002631B6" w:rsidP="002631B6">
      <w:pPr>
        <w:snapToGrid w:val="0"/>
        <w:rPr>
          <w:rFonts w:ascii="標楷體" w:eastAsia="標楷體" w:hAnsi="標楷體" w:cs="標楷體" w:hint="eastAsia"/>
          <w:sz w:val="20"/>
          <w:szCs w:val="20"/>
        </w:rPr>
      </w:pPr>
      <w:r w:rsidRPr="002631B6">
        <w:rPr>
          <w:rFonts w:ascii="標楷體" w:eastAsia="標楷體" w:hAnsi="標楷體" w:cs="標楷體" w:hint="eastAsia"/>
          <w:sz w:val="20"/>
          <w:szCs w:val="20"/>
        </w:rPr>
        <w:t>信度高，效度未必高；</w:t>
      </w:r>
    </w:p>
    <w:p w14:paraId="6C89917B" w14:textId="77777777" w:rsidR="002631B6" w:rsidRPr="002631B6" w:rsidRDefault="002631B6" w:rsidP="002631B6">
      <w:pPr>
        <w:snapToGrid w:val="0"/>
        <w:rPr>
          <w:rFonts w:ascii="標楷體" w:eastAsia="標楷體" w:hAnsi="標楷體" w:cs="標楷體" w:hint="eastAsia"/>
          <w:sz w:val="20"/>
          <w:szCs w:val="20"/>
        </w:rPr>
      </w:pPr>
      <w:r w:rsidRPr="002631B6">
        <w:rPr>
          <w:rFonts w:ascii="標楷體" w:eastAsia="標楷體" w:hAnsi="標楷體" w:cs="標楷體" w:hint="eastAsia"/>
          <w:sz w:val="20"/>
          <w:szCs w:val="20"/>
        </w:rPr>
        <w:t>信度低，效度必 低；（其實當信度低，也就沒必要探討效度了，因為沒意義。）</w:t>
      </w:r>
    </w:p>
    <w:p w14:paraId="749F14D7" w14:textId="77777777" w:rsidR="002631B6" w:rsidRPr="002631B6" w:rsidRDefault="002631B6" w:rsidP="002631B6">
      <w:pPr>
        <w:snapToGrid w:val="0"/>
        <w:rPr>
          <w:rFonts w:ascii="標楷體" w:eastAsia="標楷體" w:hAnsi="標楷體" w:cs="標楷體" w:hint="eastAsia"/>
          <w:sz w:val="20"/>
          <w:szCs w:val="20"/>
        </w:rPr>
      </w:pPr>
      <w:r w:rsidRPr="002631B6">
        <w:rPr>
          <w:rFonts w:ascii="標楷體" w:eastAsia="標楷體" w:hAnsi="標楷體" w:cs="標楷體" w:hint="eastAsia"/>
          <w:sz w:val="20"/>
          <w:szCs w:val="20"/>
        </w:rPr>
        <w:t>效度高，信度必高；</w:t>
      </w:r>
    </w:p>
    <w:p w14:paraId="431D295E" w14:textId="7916388B" w:rsidR="002631B6" w:rsidRDefault="002631B6" w:rsidP="002631B6">
      <w:pPr>
        <w:snapToGrid w:val="0"/>
        <w:rPr>
          <w:rFonts w:ascii="標楷體" w:eastAsia="標楷體" w:hAnsi="標楷體" w:cs="標楷體"/>
          <w:sz w:val="20"/>
          <w:szCs w:val="20"/>
        </w:rPr>
      </w:pPr>
      <w:r w:rsidRPr="002631B6">
        <w:rPr>
          <w:rFonts w:ascii="標楷體" w:eastAsia="標楷體" w:hAnsi="標楷體" w:cs="標楷體" w:hint="eastAsia"/>
          <w:sz w:val="20"/>
          <w:szCs w:val="20"/>
        </w:rPr>
        <w:t>效度低，信度未必低。</w:t>
      </w:r>
    </w:p>
    <w:p w14:paraId="648437A3" w14:textId="3F574DE5" w:rsidR="002631B6" w:rsidRDefault="002631B6" w:rsidP="002631B6">
      <w:pPr>
        <w:snapToGrid w:val="0"/>
        <w:rPr>
          <w:rFonts w:ascii="標楷體" w:eastAsia="標楷體" w:hAnsi="標楷體" w:cs="標楷體"/>
          <w:sz w:val="20"/>
          <w:szCs w:val="20"/>
        </w:rPr>
      </w:pPr>
    </w:p>
    <w:p w14:paraId="13541054" w14:textId="1CA5500B" w:rsidR="002631B6" w:rsidRDefault="002631B6" w:rsidP="002631B6">
      <w:pPr>
        <w:snapToGrid w:val="0"/>
        <w:rPr>
          <w:rFonts w:ascii="標楷體" w:eastAsia="標楷體" w:hAnsi="標楷體" w:cs="標楷體"/>
          <w:sz w:val="20"/>
          <w:szCs w:val="20"/>
        </w:rPr>
      </w:pPr>
      <w:r>
        <w:rPr>
          <w:rFonts w:ascii="標楷體" w:eastAsia="標楷體" w:hAnsi="標楷體" w:cs="標楷體" w:hint="eastAsia"/>
          <w:sz w:val="20"/>
          <w:szCs w:val="20"/>
        </w:rPr>
        <w:t>備註：</w:t>
      </w:r>
    </w:p>
    <w:p w14:paraId="47ED443E" w14:textId="575EA01B" w:rsidR="002631B6" w:rsidRPr="002631B6" w:rsidRDefault="002631B6" w:rsidP="002631B6">
      <w:pPr>
        <w:snapToGrid w:val="0"/>
        <w:rPr>
          <w:rFonts w:ascii="標楷體" w:eastAsia="標楷體" w:hAnsi="標楷體" w:cs="標楷體" w:hint="eastAsia"/>
          <w:sz w:val="20"/>
          <w:szCs w:val="20"/>
        </w:rPr>
      </w:pPr>
      <w:r w:rsidRPr="002631B6">
        <w:rPr>
          <w:rFonts w:ascii="標楷體" w:eastAsia="標楷體" w:hAnsi="標楷體" w:cs="標楷體" w:hint="eastAsia"/>
          <w:b/>
          <w:bCs/>
          <w:sz w:val="20"/>
          <w:szCs w:val="20"/>
        </w:rPr>
        <w:t>霍桑效應</w:t>
      </w:r>
      <w:r w:rsidRPr="002631B6">
        <w:rPr>
          <w:rFonts w:ascii="標楷體" w:eastAsia="標楷體" w:hAnsi="標楷體" w:cs="標楷體" w:hint="eastAsia"/>
          <w:sz w:val="20"/>
          <w:szCs w:val="20"/>
        </w:rPr>
        <w:t>：實驗者因為知道被觀察而改變行為動機，導致與事實有出入亦即改變實驗結果</w:t>
      </w:r>
    </w:p>
    <w:p w14:paraId="1B4161DE" w14:textId="64311887" w:rsidR="002631B6" w:rsidRPr="002631B6" w:rsidRDefault="002631B6" w:rsidP="002631B6">
      <w:pPr>
        <w:snapToGrid w:val="0"/>
        <w:rPr>
          <w:rFonts w:ascii="標楷體" w:eastAsia="標楷體" w:hAnsi="標楷體" w:cs="標楷體" w:hint="eastAsia"/>
          <w:sz w:val="20"/>
          <w:szCs w:val="20"/>
        </w:rPr>
      </w:pPr>
      <w:r w:rsidRPr="002631B6">
        <w:rPr>
          <w:rFonts w:ascii="標楷體" w:eastAsia="標楷體" w:hAnsi="標楷體" w:cs="標楷體" w:hint="eastAsia"/>
          <w:b/>
          <w:bCs/>
          <w:sz w:val="20"/>
          <w:szCs w:val="20"/>
        </w:rPr>
        <w:t>強亨利效應</w:t>
      </w:r>
      <w:r w:rsidRPr="002631B6">
        <w:rPr>
          <w:rFonts w:ascii="標楷體" w:eastAsia="標楷體" w:hAnsi="標楷體" w:cs="標楷體" w:hint="eastAsia"/>
          <w:sz w:val="20"/>
          <w:szCs w:val="20"/>
        </w:rPr>
        <w:t>：對照組不甘於被比較或作為標準參照的心態而與實驗組較勁</w:t>
      </w:r>
    </w:p>
    <w:p w14:paraId="0CFC661A" w14:textId="36543413" w:rsidR="002631B6" w:rsidRPr="002631B6" w:rsidRDefault="002631B6" w:rsidP="002631B6">
      <w:pPr>
        <w:snapToGrid w:val="0"/>
        <w:rPr>
          <w:rFonts w:ascii="標楷體" w:eastAsia="標楷體" w:hAnsi="標楷體" w:cs="標楷體" w:hint="eastAsia"/>
          <w:sz w:val="20"/>
          <w:szCs w:val="20"/>
        </w:rPr>
      </w:pPr>
      <w:r w:rsidRPr="002631B6">
        <w:rPr>
          <w:rFonts w:ascii="標楷體" w:eastAsia="標楷體" w:hAnsi="標楷體" w:cs="標楷體" w:hint="eastAsia"/>
          <w:b/>
          <w:bCs/>
          <w:sz w:val="20"/>
          <w:szCs w:val="20"/>
        </w:rPr>
        <w:t>受實驗者效應</w:t>
      </w:r>
      <w:r w:rsidRPr="002631B6">
        <w:rPr>
          <w:rFonts w:ascii="標楷體" w:eastAsia="標楷體" w:hAnsi="標楷體" w:cs="標楷體" w:hint="eastAsia"/>
          <w:sz w:val="20"/>
          <w:szCs w:val="20"/>
        </w:rPr>
        <w:t>：對照組不願受到從眾效應的心態而刻意唱反調</w:t>
      </w:r>
    </w:p>
    <w:sectPr w:rsidR="002631B6" w:rsidRPr="002631B6" w:rsidSect="009B2420">
      <w:pgSz w:w="11900" w:h="16840"/>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2010601000101010101"/>
    <w:charset w:val="88"/>
    <w:family w:val="script"/>
    <w:pitch w:val="fixed"/>
    <w:sig w:usb0="F1002BFF" w:usb1="29DFFFFF" w:usb2="00000037" w:usb3="00000000" w:csb0="001000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699"/>
    <w:rsid w:val="001F4F3E"/>
    <w:rsid w:val="002631B6"/>
    <w:rsid w:val="002B71F9"/>
    <w:rsid w:val="005E7460"/>
    <w:rsid w:val="006B2699"/>
    <w:rsid w:val="009B242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508745A6"/>
  <w15:chartTrackingRefBased/>
  <w15:docId w15:val="{D58BD8E9-7637-E44F-90A2-D1BE0463D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B2699"/>
    <w:pPr>
      <w:widowControl/>
      <w:spacing w:before="100" w:beforeAutospacing="1" w:after="100" w:afterAutospacing="1"/>
    </w:pPr>
    <w:rPr>
      <w:rFonts w:ascii="新細明體" w:eastAsia="新細明體" w:hAnsi="新細明體" w:cs="新細明體"/>
      <w:kern w:val="0"/>
    </w:rPr>
  </w:style>
  <w:style w:type="character" w:styleId="a3">
    <w:name w:val="Strong"/>
    <w:basedOn w:val="a0"/>
    <w:uiPriority w:val="22"/>
    <w:qFormat/>
    <w:rsid w:val="006B2699"/>
    <w:rPr>
      <w:b/>
      <w:bCs/>
    </w:rPr>
  </w:style>
  <w:style w:type="character" w:styleId="a4">
    <w:name w:val="Hyperlink"/>
    <w:basedOn w:val="a0"/>
    <w:uiPriority w:val="99"/>
    <w:semiHidden/>
    <w:unhideWhenUsed/>
    <w:rsid w:val="006B2699"/>
    <w:rPr>
      <w:color w:val="0000FF"/>
      <w:u w:val="single"/>
    </w:rPr>
  </w:style>
  <w:style w:type="paragraph" w:styleId="a5">
    <w:name w:val="List Paragraph"/>
    <w:basedOn w:val="a"/>
    <w:uiPriority w:val="34"/>
    <w:qFormat/>
    <w:rsid w:val="009B2420"/>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511170">
      <w:bodyDiv w:val="1"/>
      <w:marLeft w:val="0"/>
      <w:marRight w:val="0"/>
      <w:marTop w:val="0"/>
      <w:marBottom w:val="0"/>
      <w:divBdr>
        <w:top w:val="none" w:sz="0" w:space="0" w:color="auto"/>
        <w:left w:val="none" w:sz="0" w:space="0" w:color="auto"/>
        <w:bottom w:val="none" w:sz="0" w:space="0" w:color="auto"/>
        <w:right w:val="none" w:sz="0" w:space="0" w:color="auto"/>
      </w:divBdr>
    </w:div>
    <w:div w:id="1004280227">
      <w:bodyDiv w:val="1"/>
      <w:marLeft w:val="0"/>
      <w:marRight w:val="0"/>
      <w:marTop w:val="0"/>
      <w:marBottom w:val="0"/>
      <w:divBdr>
        <w:top w:val="none" w:sz="0" w:space="0" w:color="auto"/>
        <w:left w:val="none" w:sz="0" w:space="0" w:color="auto"/>
        <w:bottom w:val="none" w:sz="0" w:space="0" w:color="auto"/>
        <w:right w:val="none" w:sz="0" w:space="0" w:color="auto"/>
      </w:divBdr>
    </w:div>
    <w:div w:id="1267690674">
      <w:bodyDiv w:val="1"/>
      <w:marLeft w:val="0"/>
      <w:marRight w:val="0"/>
      <w:marTop w:val="0"/>
      <w:marBottom w:val="0"/>
      <w:divBdr>
        <w:top w:val="none" w:sz="0" w:space="0" w:color="auto"/>
        <w:left w:val="none" w:sz="0" w:space="0" w:color="auto"/>
        <w:bottom w:val="none" w:sz="0" w:space="0" w:color="auto"/>
        <w:right w:val="none" w:sz="0" w:space="0" w:color="auto"/>
      </w:divBdr>
    </w:div>
    <w:div w:id="1339187760">
      <w:bodyDiv w:val="1"/>
      <w:marLeft w:val="0"/>
      <w:marRight w:val="0"/>
      <w:marTop w:val="0"/>
      <w:marBottom w:val="0"/>
      <w:divBdr>
        <w:top w:val="none" w:sz="0" w:space="0" w:color="auto"/>
        <w:left w:val="none" w:sz="0" w:space="0" w:color="auto"/>
        <w:bottom w:val="none" w:sz="0" w:space="0" w:color="auto"/>
        <w:right w:val="none" w:sz="0" w:space="0" w:color="auto"/>
      </w:divBdr>
    </w:div>
    <w:div w:id="1406952272">
      <w:bodyDiv w:val="1"/>
      <w:marLeft w:val="0"/>
      <w:marRight w:val="0"/>
      <w:marTop w:val="0"/>
      <w:marBottom w:val="0"/>
      <w:divBdr>
        <w:top w:val="none" w:sz="0" w:space="0" w:color="auto"/>
        <w:left w:val="none" w:sz="0" w:space="0" w:color="auto"/>
        <w:bottom w:val="none" w:sz="0" w:space="0" w:color="auto"/>
        <w:right w:val="none" w:sz="0" w:space="0" w:color="auto"/>
      </w:divBdr>
      <w:divsChild>
        <w:div w:id="815877865">
          <w:marLeft w:val="0"/>
          <w:marRight w:val="0"/>
          <w:marTop w:val="0"/>
          <w:marBottom w:val="0"/>
          <w:divBdr>
            <w:top w:val="none" w:sz="0" w:space="0" w:color="auto"/>
            <w:left w:val="none" w:sz="0" w:space="0" w:color="auto"/>
            <w:bottom w:val="none" w:sz="0" w:space="0" w:color="auto"/>
            <w:right w:val="none" w:sz="0" w:space="0" w:color="auto"/>
          </w:divBdr>
        </w:div>
      </w:divsChild>
    </w:div>
    <w:div w:id="153257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hyperlink" Target="http://www.rai-stat.com.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454</Words>
  <Characters>2588</Characters>
  <Application>Microsoft Office Word</Application>
  <DocSecurity>0</DocSecurity>
  <Lines>21</Lines>
  <Paragraphs>6</Paragraphs>
  <ScaleCrop>false</ScaleCrop>
  <Company/>
  <LinksUpToDate>false</LinksUpToDate>
  <CharactersWithSpaces>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tingyu chen</dc:creator>
  <cp:keywords/>
  <dc:description/>
  <cp:lastModifiedBy>tingyu chen</cp:lastModifiedBy>
  <cp:revision>1</cp:revision>
  <dcterms:created xsi:type="dcterms:W3CDTF">2021-07-12T04:44:00Z</dcterms:created>
  <dcterms:modified xsi:type="dcterms:W3CDTF">2021-07-12T05:42:00Z</dcterms:modified>
</cp:coreProperties>
</file>